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081D87" w:rsidP="00000F6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Marzo</w:t>
            </w:r>
            <w:r w:rsidR="00807274" w:rsidRPr="00000F68">
              <w:rPr>
                <w:rFonts w:ascii="Cambria" w:hAnsi="Cambria"/>
                <w:sz w:val="44"/>
                <w:szCs w:val="44"/>
                <w:lang w:val="es-DO"/>
              </w:rPr>
              <w:t xml:space="preserve"> </w:t>
            </w:r>
            <w:r w:rsidR="005C204C" w:rsidRPr="00000F68">
              <w:rPr>
                <w:rFonts w:ascii="Cambria" w:hAnsi="Cambria"/>
                <w:sz w:val="44"/>
                <w:szCs w:val="44"/>
                <w:lang w:val="es-DO"/>
              </w:rPr>
              <w:t>201</w:t>
            </w:r>
            <w:r w:rsidR="00E8217D">
              <w:rPr>
                <w:rFonts w:ascii="Cambria" w:hAnsi="Cambria"/>
                <w:sz w:val="44"/>
                <w:szCs w:val="44"/>
                <w:lang w:val="es-DO"/>
              </w:rPr>
              <w:t>8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8D7EA9">
        <w:t>Marzo</w:t>
      </w:r>
      <w:r w:rsidR="00391D38">
        <w:t xml:space="preserve"> </w:t>
      </w:r>
      <w:r w:rsidRPr="0077448C">
        <w:t>de 201</w:t>
      </w:r>
      <w:r w:rsidR="00E8217D">
        <w:t>8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="00F906F2">
        <w:t xml:space="preserve">e conformidad </w:t>
      </w:r>
      <w:r w:rsidRPr="0077448C">
        <w:t>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657883">
        <w:t xml:space="preserve">ron recibidas </w:t>
      </w:r>
      <w:r w:rsidR="00B06508">
        <w:t>tres</w:t>
      </w:r>
      <w:r w:rsidR="000611EA">
        <w:t xml:space="preserve"> </w:t>
      </w:r>
      <w:r w:rsidR="00705343">
        <w:t>(</w:t>
      </w:r>
      <w:r w:rsidR="00B06508">
        <w:t>03</w:t>
      </w:r>
      <w:r w:rsidR="00BF3E49">
        <w:t>) solicitud</w:t>
      </w:r>
      <w:r w:rsidR="00657883">
        <w:t>es</w:t>
      </w:r>
      <w:r>
        <w:t>,</w:t>
      </w:r>
      <w:r w:rsidR="00705343">
        <w:t xml:space="preserve"> </w:t>
      </w:r>
      <w:r w:rsidR="00BF3E49">
        <w:t>la</w:t>
      </w:r>
      <w:r w:rsidR="00657883">
        <w:t>s</w:t>
      </w:r>
      <w:r w:rsidR="000611EA">
        <w:t xml:space="preserve"> cual</w:t>
      </w:r>
      <w:r w:rsidR="007B6F3F">
        <w:t>es</w:t>
      </w:r>
      <w:r w:rsidR="00CE6D31">
        <w:t xml:space="preserve"> </w:t>
      </w:r>
      <w:r w:rsidR="00657883">
        <w:t xml:space="preserve">están </w:t>
      </w:r>
      <w:r w:rsidR="00BF3E49">
        <w:t>detalla</w:t>
      </w:r>
      <w:r w:rsidR="00CA762E">
        <w:t>da</w:t>
      </w:r>
      <w:r w:rsidR="00657883">
        <w:t>s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1507"/>
        <w:gridCol w:w="21"/>
        <w:gridCol w:w="1113"/>
        <w:gridCol w:w="1218"/>
        <w:gridCol w:w="60"/>
        <w:gridCol w:w="1064"/>
        <w:gridCol w:w="68"/>
        <w:gridCol w:w="1231"/>
        <w:gridCol w:w="45"/>
        <w:gridCol w:w="1700"/>
        <w:gridCol w:w="18"/>
      </w:tblGrid>
      <w:tr w:rsidR="002518E6" w:rsidRPr="005C204C" w:rsidTr="00F42AA4">
        <w:trPr>
          <w:trHeight w:val="676"/>
          <w:jc w:val="center"/>
        </w:trPr>
        <w:tc>
          <w:tcPr>
            <w:tcW w:w="1009" w:type="dxa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528" w:type="dxa"/>
            <w:gridSpan w:val="2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113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218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24" w:type="dxa"/>
            <w:gridSpan w:val="2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299" w:type="dxa"/>
            <w:gridSpan w:val="2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763" w:type="dxa"/>
            <w:gridSpan w:val="3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F42AA4">
        <w:trPr>
          <w:gridAfter w:val="1"/>
          <w:wAfter w:w="18" w:type="dxa"/>
          <w:trHeight w:val="541"/>
          <w:jc w:val="center"/>
        </w:trPr>
        <w:tc>
          <w:tcPr>
            <w:tcW w:w="1009" w:type="dxa"/>
            <w:vAlign w:val="center"/>
          </w:tcPr>
          <w:p w:rsidR="0078595D" w:rsidRDefault="00532D78" w:rsidP="00EA1E7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B06508">
              <w:rPr>
                <w:rFonts w:ascii="Arial" w:hAnsi="Arial" w:cs="Arial"/>
                <w:color w:val="000000"/>
                <w:sz w:val="20"/>
                <w:szCs w:val="20"/>
              </w:rPr>
              <w:t>015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7" w:type="dxa"/>
            <w:vAlign w:val="center"/>
          </w:tcPr>
          <w:p w:rsidR="0078595D" w:rsidRPr="001A33B7" w:rsidRDefault="00F906F2" w:rsidP="00B06508">
            <w:pPr>
              <w:spacing w:after="0"/>
              <w:jc w:val="center"/>
            </w:pPr>
            <w:r w:rsidRPr="001A33B7">
              <w:t>0</w:t>
            </w:r>
            <w:r w:rsidR="00B06508">
              <w:t>4</w:t>
            </w:r>
            <w:r w:rsidR="0076093A" w:rsidRPr="001A33B7">
              <w:t>/</w:t>
            </w:r>
            <w:r w:rsidR="00482FD1" w:rsidRPr="001A33B7">
              <w:t>0</w:t>
            </w:r>
            <w:r w:rsidR="00B06508">
              <w:t>3</w:t>
            </w:r>
            <w:r w:rsidR="00482FD1" w:rsidRPr="001A33B7">
              <w:t>/2018</w:t>
            </w:r>
          </w:p>
        </w:tc>
        <w:tc>
          <w:tcPr>
            <w:tcW w:w="1134" w:type="dxa"/>
            <w:gridSpan w:val="2"/>
            <w:vAlign w:val="center"/>
          </w:tcPr>
          <w:p w:rsidR="0078595D" w:rsidRPr="001A33B7" w:rsidRDefault="00F906F2" w:rsidP="00ED1762">
            <w:pPr>
              <w:spacing w:after="0"/>
              <w:jc w:val="center"/>
            </w:pPr>
            <w:r w:rsidRPr="001A33B7">
              <w:t>Concluida</w:t>
            </w:r>
          </w:p>
        </w:tc>
        <w:tc>
          <w:tcPr>
            <w:tcW w:w="1278" w:type="dxa"/>
            <w:gridSpan w:val="2"/>
            <w:vAlign w:val="center"/>
          </w:tcPr>
          <w:p w:rsidR="0078595D" w:rsidRPr="001A33B7" w:rsidRDefault="00E171E6" w:rsidP="00E171E6">
            <w:pPr>
              <w:spacing w:after="0"/>
              <w:jc w:val="center"/>
            </w:pPr>
            <w:r w:rsidRPr="001A33B7">
              <w:t>Correo Electrónico</w:t>
            </w:r>
          </w:p>
        </w:tc>
        <w:tc>
          <w:tcPr>
            <w:tcW w:w="1132" w:type="dxa"/>
            <w:gridSpan w:val="2"/>
            <w:vAlign w:val="center"/>
          </w:tcPr>
          <w:p w:rsidR="0078595D" w:rsidRPr="001A33B7" w:rsidRDefault="00B06508" w:rsidP="00ED1762">
            <w:pPr>
              <w:spacing w:after="0"/>
              <w:jc w:val="center"/>
            </w:pPr>
            <w:r>
              <w:t>11</w:t>
            </w:r>
          </w:p>
        </w:tc>
        <w:tc>
          <w:tcPr>
            <w:tcW w:w="1276" w:type="dxa"/>
            <w:gridSpan w:val="2"/>
          </w:tcPr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7363F8" w:rsidRPr="001A33B7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  <w:r>
              <w:t>No</w:t>
            </w:r>
          </w:p>
        </w:tc>
        <w:tc>
          <w:tcPr>
            <w:tcW w:w="1700" w:type="dxa"/>
            <w:vAlign w:val="center"/>
          </w:tcPr>
          <w:p w:rsidR="0078595D" w:rsidRPr="0031521E" w:rsidRDefault="00B06508" w:rsidP="00ED76C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6508">
              <w:t xml:space="preserve">Listado encargados técnicos comerciales </w:t>
            </w:r>
            <w:r>
              <w:t>de puerto plata y su patrimonio</w:t>
            </w:r>
            <w:r w:rsidR="00ED76C4" w:rsidRPr="00ED76C4">
              <w:t>.</w:t>
            </w:r>
          </w:p>
        </w:tc>
      </w:tr>
      <w:tr w:rsidR="00F906F2" w:rsidRPr="005C204C" w:rsidTr="00F42AA4">
        <w:trPr>
          <w:gridAfter w:val="1"/>
          <w:wAfter w:w="18" w:type="dxa"/>
          <w:trHeight w:val="1709"/>
          <w:jc w:val="center"/>
        </w:trPr>
        <w:tc>
          <w:tcPr>
            <w:tcW w:w="1009" w:type="dxa"/>
            <w:vAlign w:val="center"/>
          </w:tcPr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06F2" w:rsidRDefault="00E171E6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</w:t>
            </w:r>
            <w:r w:rsidR="00B0650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-2018</w:t>
            </w:r>
          </w:p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906F2" w:rsidRPr="001A33B7" w:rsidRDefault="00B06508" w:rsidP="00B06508">
            <w:pPr>
              <w:jc w:val="center"/>
            </w:pPr>
            <w:r>
              <w:t>23</w:t>
            </w:r>
            <w:r w:rsidR="00F906F2" w:rsidRPr="001A33B7">
              <w:t>/</w:t>
            </w:r>
            <w:r w:rsidR="00482FD1" w:rsidRPr="001A33B7">
              <w:t>0</w:t>
            </w:r>
            <w:r>
              <w:t>3</w:t>
            </w:r>
            <w:r w:rsidR="00482FD1" w:rsidRPr="001A33B7">
              <w:t>/2018</w:t>
            </w:r>
          </w:p>
        </w:tc>
        <w:tc>
          <w:tcPr>
            <w:tcW w:w="1134" w:type="dxa"/>
            <w:gridSpan w:val="2"/>
            <w:vAlign w:val="center"/>
          </w:tcPr>
          <w:p w:rsidR="00F906F2" w:rsidRPr="001A33B7" w:rsidRDefault="00F906F2" w:rsidP="00F906F2">
            <w:pPr>
              <w:jc w:val="center"/>
            </w:pPr>
            <w:r w:rsidRPr="001A33B7">
              <w:t>Concluida</w:t>
            </w:r>
          </w:p>
        </w:tc>
        <w:tc>
          <w:tcPr>
            <w:tcW w:w="1278" w:type="dxa"/>
            <w:gridSpan w:val="2"/>
            <w:vAlign w:val="center"/>
          </w:tcPr>
          <w:p w:rsidR="00F906F2" w:rsidRPr="001A33B7" w:rsidRDefault="00F906F2" w:rsidP="00F906F2">
            <w:pPr>
              <w:jc w:val="center"/>
            </w:pPr>
            <w:r w:rsidRPr="001A33B7">
              <w:t>Correo Electrónico</w:t>
            </w:r>
          </w:p>
        </w:tc>
        <w:tc>
          <w:tcPr>
            <w:tcW w:w="1132" w:type="dxa"/>
            <w:gridSpan w:val="2"/>
            <w:vAlign w:val="center"/>
          </w:tcPr>
          <w:p w:rsidR="00F906F2" w:rsidRPr="001A33B7" w:rsidRDefault="00B06508" w:rsidP="00F906F2">
            <w:pPr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</w:tcPr>
          <w:p w:rsidR="00F906F2" w:rsidRPr="001A33B7" w:rsidRDefault="00F906F2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  <w:p w:rsidR="00F906F2" w:rsidRPr="001A33B7" w:rsidRDefault="00F906F2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  <w:r w:rsidRPr="001A33B7">
              <w:t>.</w:t>
            </w:r>
          </w:p>
          <w:p w:rsidR="00F906F2" w:rsidRPr="001A33B7" w:rsidRDefault="00F906F2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  <w:r w:rsidRPr="001A33B7">
              <w:t>No</w:t>
            </w:r>
          </w:p>
          <w:p w:rsidR="00F906F2" w:rsidRPr="001A33B7" w:rsidRDefault="00F906F2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</w:tc>
        <w:tc>
          <w:tcPr>
            <w:tcW w:w="1700" w:type="dxa"/>
          </w:tcPr>
          <w:p w:rsidR="00F906F2" w:rsidRDefault="00B06508" w:rsidP="00F906F2">
            <w:r w:rsidRPr="00B06508">
              <w:t>Factura Progreso Limón febrero 2018</w:t>
            </w:r>
            <w:r>
              <w:t>.</w:t>
            </w:r>
          </w:p>
        </w:tc>
      </w:tr>
      <w:tr w:rsidR="00F906F2" w:rsidRPr="005C204C" w:rsidTr="00F42AA4">
        <w:trPr>
          <w:gridAfter w:val="1"/>
          <w:wAfter w:w="18" w:type="dxa"/>
          <w:trHeight w:val="1709"/>
          <w:jc w:val="center"/>
        </w:trPr>
        <w:tc>
          <w:tcPr>
            <w:tcW w:w="1009" w:type="dxa"/>
            <w:vAlign w:val="center"/>
          </w:tcPr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06F2" w:rsidRDefault="00AC25B7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EDN-OAI-01</w:t>
            </w:r>
            <w:r w:rsidR="00B0650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-2018</w:t>
            </w:r>
          </w:p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906F2" w:rsidRPr="001A33B7" w:rsidRDefault="00B06508" w:rsidP="00B06508">
            <w:pPr>
              <w:jc w:val="center"/>
            </w:pPr>
            <w:r>
              <w:t>28</w:t>
            </w:r>
            <w:r w:rsidR="00F906F2" w:rsidRPr="001A33B7">
              <w:t>/</w:t>
            </w:r>
            <w:r w:rsidR="00482FD1" w:rsidRPr="001A33B7">
              <w:t>0</w:t>
            </w:r>
            <w:r>
              <w:t>3</w:t>
            </w:r>
            <w:r w:rsidR="00F906F2" w:rsidRPr="001A33B7">
              <w:t>/201</w:t>
            </w:r>
            <w:r w:rsidR="00482FD1" w:rsidRPr="001A33B7"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F906F2" w:rsidRPr="001A33B7" w:rsidRDefault="00AC25B7" w:rsidP="00F906F2">
            <w:pPr>
              <w:jc w:val="center"/>
            </w:pPr>
            <w:r>
              <w:t>Cerrada</w:t>
            </w:r>
          </w:p>
        </w:tc>
        <w:tc>
          <w:tcPr>
            <w:tcW w:w="1278" w:type="dxa"/>
            <w:gridSpan w:val="2"/>
            <w:vAlign w:val="center"/>
          </w:tcPr>
          <w:p w:rsidR="00F906F2" w:rsidRPr="001A33B7" w:rsidRDefault="00AC25B7" w:rsidP="00F906F2">
            <w:pPr>
              <w:jc w:val="center"/>
            </w:pPr>
            <w:r>
              <w:t>Correo Electrónico</w:t>
            </w:r>
          </w:p>
        </w:tc>
        <w:tc>
          <w:tcPr>
            <w:tcW w:w="1132" w:type="dxa"/>
            <w:gridSpan w:val="2"/>
            <w:vAlign w:val="center"/>
          </w:tcPr>
          <w:p w:rsidR="00F906F2" w:rsidRDefault="00A9650D" w:rsidP="00F906F2">
            <w:pPr>
              <w:jc w:val="center"/>
            </w:pPr>
            <w:r>
              <w:t>2</w:t>
            </w:r>
          </w:p>
          <w:p w:rsidR="00A9650D" w:rsidRPr="001A33B7" w:rsidRDefault="00A9650D" w:rsidP="00F906F2">
            <w:pPr>
              <w:jc w:val="center"/>
            </w:pPr>
          </w:p>
        </w:tc>
        <w:tc>
          <w:tcPr>
            <w:tcW w:w="1276" w:type="dxa"/>
            <w:gridSpan w:val="2"/>
          </w:tcPr>
          <w:p w:rsidR="00F906F2" w:rsidRPr="001A33B7" w:rsidRDefault="00F906F2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  <w:p w:rsidR="00F906F2" w:rsidRPr="001A33B7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  <w:r>
              <w:t>No</w:t>
            </w:r>
          </w:p>
        </w:tc>
        <w:tc>
          <w:tcPr>
            <w:tcW w:w="1700" w:type="dxa"/>
          </w:tcPr>
          <w:p w:rsidR="00F906F2" w:rsidRDefault="00A9650D" w:rsidP="00F906F2">
            <w:r w:rsidRPr="00A9650D">
              <w:t>Consumo total de energía por regiones del sector industrial, comercial y personal.</w:t>
            </w:r>
          </w:p>
        </w:tc>
      </w:tr>
    </w:tbl>
    <w:p w:rsidR="0076093A" w:rsidRDefault="0076093A" w:rsidP="00482FD1">
      <w:pPr>
        <w:spacing w:after="0" w:line="240" w:lineRule="auto"/>
        <w:jc w:val="center"/>
      </w:pPr>
    </w:p>
    <w:p w:rsidR="0031521E" w:rsidRDefault="0031521E" w:rsidP="00482FD1">
      <w:pPr>
        <w:spacing w:after="0" w:line="240" w:lineRule="auto"/>
        <w:jc w:val="center"/>
        <w:rPr>
          <w:color w:val="000000"/>
        </w:rPr>
      </w:pPr>
    </w:p>
    <w:p w:rsidR="00FC1CCD" w:rsidRDefault="00FC1CCD" w:rsidP="00482FD1">
      <w:pPr>
        <w:spacing w:after="0" w:line="240" w:lineRule="auto"/>
        <w:jc w:val="center"/>
        <w:rPr>
          <w:color w:val="000000"/>
        </w:rPr>
      </w:pPr>
    </w:p>
    <w:p w:rsidR="00FC1CCD" w:rsidRDefault="00FC1CCD" w:rsidP="00482FD1">
      <w:pPr>
        <w:spacing w:after="0" w:line="240" w:lineRule="auto"/>
        <w:jc w:val="center"/>
        <w:rPr>
          <w:color w:val="000000"/>
        </w:rPr>
      </w:pPr>
    </w:p>
    <w:p w:rsidR="00FC1CCD" w:rsidRDefault="00FC1CCD" w:rsidP="00482FD1">
      <w:pPr>
        <w:spacing w:after="0" w:line="240" w:lineRule="auto"/>
        <w:jc w:val="center"/>
        <w:rPr>
          <w:color w:val="000000"/>
        </w:rPr>
      </w:pPr>
    </w:p>
    <w:p w:rsidR="0031521E" w:rsidRDefault="0031521E" w:rsidP="00482FD1">
      <w:pPr>
        <w:spacing w:after="0" w:line="240" w:lineRule="auto"/>
        <w:jc w:val="center"/>
        <w:rPr>
          <w:color w:val="000000"/>
        </w:rPr>
      </w:pP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De las </w:t>
      </w:r>
      <w:r w:rsidR="0065689A">
        <w:rPr>
          <w:color w:val="000000"/>
        </w:rPr>
        <w:t>siete</w:t>
      </w:r>
      <w:r>
        <w:rPr>
          <w:color w:val="000000"/>
        </w:rPr>
        <w:t xml:space="preserve"> (</w:t>
      </w:r>
      <w:r w:rsidR="0076093A">
        <w:rPr>
          <w:color w:val="000000"/>
        </w:rPr>
        <w:t>0</w:t>
      </w:r>
      <w:r w:rsidR="00A9650D">
        <w:rPr>
          <w:color w:val="000000"/>
        </w:rPr>
        <w:t>3</w:t>
      </w:r>
      <w:r>
        <w:rPr>
          <w:color w:val="000000"/>
        </w:rPr>
        <w:t>) solicitu</w:t>
      </w:r>
      <w:r w:rsidR="0031521E">
        <w:rPr>
          <w:color w:val="000000"/>
        </w:rPr>
        <w:t>des antes indicadas cabe señalar</w:t>
      </w:r>
      <w:r>
        <w:rPr>
          <w:color w:val="000000"/>
        </w:rPr>
        <w:t xml:space="preserve"> lo siguiente:</w:t>
      </w: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</w:p>
    <w:p w:rsidR="00D45C9D" w:rsidRDefault="00514CD3" w:rsidP="00D45C9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T</w:t>
      </w:r>
      <w:r w:rsidR="00FC1CCD">
        <w:rPr>
          <w:color w:val="000000"/>
        </w:rPr>
        <w:t xml:space="preserve">odas las </w:t>
      </w:r>
      <w:r w:rsidR="001D043A">
        <w:rPr>
          <w:color w:val="000000"/>
        </w:rPr>
        <w:t>solicitud</w:t>
      </w:r>
      <w:r w:rsidR="00FB7C7E">
        <w:rPr>
          <w:color w:val="000000"/>
        </w:rPr>
        <w:t>es</w:t>
      </w:r>
      <w:r w:rsidR="001D043A">
        <w:rPr>
          <w:color w:val="000000"/>
        </w:rPr>
        <w:t xml:space="preserve"> fue</w:t>
      </w:r>
      <w:r w:rsidR="00FB7C7E">
        <w:rPr>
          <w:color w:val="000000"/>
        </w:rPr>
        <w:t>ron</w:t>
      </w:r>
      <w:r>
        <w:rPr>
          <w:color w:val="000000"/>
        </w:rPr>
        <w:t xml:space="preserve"> </w:t>
      </w:r>
      <w:r w:rsidR="00F171D0">
        <w:rPr>
          <w:color w:val="000000"/>
        </w:rPr>
        <w:t>concluida</w:t>
      </w:r>
      <w:r w:rsidR="00FB7C7E">
        <w:rPr>
          <w:color w:val="000000"/>
        </w:rPr>
        <w:t>s</w:t>
      </w:r>
      <w:r>
        <w:rPr>
          <w:color w:val="000000"/>
        </w:rPr>
        <w:t>,</w:t>
      </w:r>
      <w:r w:rsidR="00F171D0">
        <w:rPr>
          <w:color w:val="000000"/>
        </w:rPr>
        <w:t xml:space="preserve"> es decir, fue entregada la información requerida dentro de los plazos establecidos en la Ley No. 200-04 General de Libre </w:t>
      </w:r>
      <w:r w:rsidR="00C93794">
        <w:rPr>
          <w:color w:val="000000"/>
        </w:rPr>
        <w:t>Acceso a la Información Pública.</w:t>
      </w:r>
    </w:p>
    <w:p w:rsidR="00C93794" w:rsidRDefault="00C93794" w:rsidP="00C93794">
      <w:pPr>
        <w:pStyle w:val="Prrafodelista"/>
        <w:spacing w:after="0" w:line="240" w:lineRule="auto"/>
        <w:jc w:val="both"/>
        <w:rPr>
          <w:color w:val="000000"/>
        </w:rPr>
      </w:pPr>
    </w:p>
    <w:p w:rsidR="00C93794" w:rsidRDefault="00A9650D" w:rsidP="00C93794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NO f</w:t>
      </w:r>
      <w:r w:rsidR="00C93794">
        <w:t>ue necesario hacer uso</w:t>
      </w:r>
      <w:r w:rsidR="00B010BF">
        <w:t xml:space="preserve"> de prórroga</w:t>
      </w:r>
      <w:r>
        <w:t>.</w:t>
      </w:r>
      <w:r w:rsidR="00B010BF">
        <w:t>)</w:t>
      </w:r>
      <w:r w:rsidR="00C93794">
        <w:t>.</w:t>
      </w:r>
    </w:p>
    <w:p w:rsidR="00FC1CCD" w:rsidRPr="007A096B" w:rsidRDefault="00FC1CCD" w:rsidP="00FC1CCD">
      <w:pPr>
        <w:pStyle w:val="Prrafodelista"/>
        <w:spacing w:after="0" w:line="240" w:lineRule="auto"/>
        <w:jc w:val="both"/>
        <w:rPr>
          <w:color w:val="000000"/>
        </w:rPr>
      </w:pPr>
    </w:p>
    <w:p w:rsidR="001D043A" w:rsidRPr="001D043A" w:rsidRDefault="00F171D0" w:rsidP="001D04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El tiempo promedio de</w:t>
      </w:r>
      <w:r w:rsidR="00C358A2">
        <w:rPr>
          <w:color w:val="000000"/>
        </w:rPr>
        <w:t xml:space="preserve"> respuesta a la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</w:t>
      </w:r>
      <w:r w:rsidR="00CB141F">
        <w:rPr>
          <w:color w:val="000000"/>
        </w:rPr>
        <w:t>solicitud</w:t>
      </w:r>
      <w:r w:rsidR="00FB7C7E">
        <w:rPr>
          <w:color w:val="000000"/>
        </w:rPr>
        <w:t>es</w:t>
      </w:r>
      <w:r w:rsidR="00CB141F">
        <w:rPr>
          <w:color w:val="000000"/>
        </w:rPr>
        <w:t xml:space="preserve"> antes señalada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es </w:t>
      </w:r>
      <w:r>
        <w:rPr>
          <w:color w:val="000000"/>
        </w:rPr>
        <w:t>de 0</w:t>
      </w:r>
      <w:r w:rsidR="00FC1CCD">
        <w:rPr>
          <w:color w:val="000000"/>
        </w:rPr>
        <w:t>1</w:t>
      </w:r>
      <w:r w:rsidR="0076093A">
        <w:rPr>
          <w:color w:val="000000"/>
        </w:rPr>
        <w:t xml:space="preserve"> </w:t>
      </w:r>
      <w:r w:rsidR="00FB7C7E">
        <w:rPr>
          <w:color w:val="000000"/>
        </w:rPr>
        <w:t xml:space="preserve">a </w:t>
      </w:r>
      <w:r w:rsidR="00A9650D">
        <w:rPr>
          <w:color w:val="000000"/>
        </w:rPr>
        <w:t>11</w:t>
      </w:r>
      <w:bookmarkStart w:id="0" w:name="_GoBack"/>
      <w:bookmarkEnd w:id="0"/>
      <w:r w:rsidR="00FB7C7E">
        <w:rPr>
          <w:color w:val="000000"/>
        </w:rPr>
        <w:t xml:space="preserve"> días</w:t>
      </w:r>
      <w:r>
        <w:rPr>
          <w:color w:val="000000"/>
        </w:rPr>
        <w:t>.</w:t>
      </w:r>
    </w:p>
    <w:p w:rsidR="00F171D0" w:rsidRDefault="00F171D0" w:rsidP="00F171D0">
      <w:pPr>
        <w:pStyle w:val="Prrafodelista"/>
      </w:pPr>
    </w:p>
    <w:p w:rsidR="00C93794" w:rsidRDefault="009419BF" w:rsidP="00C937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No existen solicitudes pendientes</w:t>
      </w:r>
      <w:r w:rsidR="00C93794">
        <w:rPr>
          <w:color w:val="000000" w:themeColor="text1"/>
        </w:rPr>
        <w:t>.</w:t>
      </w:r>
    </w:p>
    <w:p w:rsidR="00C93794" w:rsidRPr="00C93794" w:rsidRDefault="00C93794" w:rsidP="00C93794">
      <w:pPr>
        <w:pStyle w:val="Prrafodelista"/>
        <w:rPr>
          <w:color w:val="000000" w:themeColor="text1"/>
        </w:rPr>
      </w:pPr>
    </w:p>
    <w:p w:rsidR="00C93794" w:rsidRDefault="00C93794" w:rsidP="00E25220">
      <w:pPr>
        <w:pStyle w:val="Prrafodelista"/>
        <w:spacing w:after="0" w:line="240" w:lineRule="auto"/>
        <w:jc w:val="both"/>
        <w:rPr>
          <w:color w:val="000000"/>
        </w:rPr>
      </w:pPr>
    </w:p>
    <w:p w:rsidR="00C93794" w:rsidRPr="00C93794" w:rsidRDefault="00C93794" w:rsidP="00C93794">
      <w:pPr>
        <w:pStyle w:val="Prrafodelista"/>
        <w:rPr>
          <w:color w:val="000000"/>
        </w:rPr>
      </w:pPr>
    </w:p>
    <w:p w:rsidR="00C93794" w:rsidRDefault="00C93794" w:rsidP="00C93794">
      <w:pPr>
        <w:pStyle w:val="Prrafodelista"/>
        <w:spacing w:after="0" w:line="240" w:lineRule="auto"/>
        <w:jc w:val="both"/>
        <w:rPr>
          <w:color w:val="000000"/>
        </w:rPr>
      </w:pPr>
    </w:p>
    <w:p w:rsidR="00D15124" w:rsidRPr="00D15124" w:rsidRDefault="00D15124" w:rsidP="00F906F2">
      <w:pPr>
        <w:pStyle w:val="Prrafodelista"/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296" w:rsidRDefault="00204296" w:rsidP="008E3B1D">
      <w:pPr>
        <w:spacing w:after="0" w:line="240" w:lineRule="auto"/>
      </w:pPr>
      <w:r>
        <w:separator/>
      </w:r>
    </w:p>
  </w:endnote>
  <w:endnote w:type="continuationSeparator" w:id="0">
    <w:p w:rsidR="00204296" w:rsidRDefault="00204296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296" w:rsidRDefault="00204296" w:rsidP="008E3B1D">
      <w:pPr>
        <w:spacing w:after="0" w:line="240" w:lineRule="auto"/>
      </w:pPr>
      <w:r>
        <w:separator/>
      </w:r>
    </w:p>
  </w:footnote>
  <w:footnote w:type="continuationSeparator" w:id="0">
    <w:p w:rsidR="00204296" w:rsidRDefault="00204296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A4EFB"/>
    <w:multiLevelType w:val="hybridMultilevel"/>
    <w:tmpl w:val="15385CCC"/>
    <w:lvl w:ilvl="0" w:tplc="D0887698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855C5E"/>
    <w:multiLevelType w:val="hybridMultilevel"/>
    <w:tmpl w:val="26FAC0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00F68"/>
    <w:rsid w:val="00016D90"/>
    <w:rsid w:val="0004300E"/>
    <w:rsid w:val="00046445"/>
    <w:rsid w:val="00054BA8"/>
    <w:rsid w:val="000611EA"/>
    <w:rsid w:val="000755A9"/>
    <w:rsid w:val="00081D87"/>
    <w:rsid w:val="000A2AB4"/>
    <w:rsid w:val="000B376A"/>
    <w:rsid w:val="00101B80"/>
    <w:rsid w:val="00101C0B"/>
    <w:rsid w:val="00115025"/>
    <w:rsid w:val="001178A6"/>
    <w:rsid w:val="00175903"/>
    <w:rsid w:val="00185C9D"/>
    <w:rsid w:val="00186505"/>
    <w:rsid w:val="001A2165"/>
    <w:rsid w:val="001A33B7"/>
    <w:rsid w:val="001B60B3"/>
    <w:rsid w:val="001D043A"/>
    <w:rsid w:val="001F1FC3"/>
    <w:rsid w:val="00204296"/>
    <w:rsid w:val="00225D47"/>
    <w:rsid w:val="00243522"/>
    <w:rsid w:val="002518E6"/>
    <w:rsid w:val="00265DC1"/>
    <w:rsid w:val="002B3D1F"/>
    <w:rsid w:val="002E51B8"/>
    <w:rsid w:val="002F73BD"/>
    <w:rsid w:val="00305416"/>
    <w:rsid w:val="0031521E"/>
    <w:rsid w:val="00327283"/>
    <w:rsid w:val="003748DB"/>
    <w:rsid w:val="00384585"/>
    <w:rsid w:val="00391D38"/>
    <w:rsid w:val="003B4406"/>
    <w:rsid w:val="003E5BE8"/>
    <w:rsid w:val="003E74C8"/>
    <w:rsid w:val="00420CE4"/>
    <w:rsid w:val="00482FD1"/>
    <w:rsid w:val="00491DD6"/>
    <w:rsid w:val="00494BE4"/>
    <w:rsid w:val="004A1AA8"/>
    <w:rsid w:val="004B3F84"/>
    <w:rsid w:val="004C0552"/>
    <w:rsid w:val="004C481F"/>
    <w:rsid w:val="004F5F0C"/>
    <w:rsid w:val="00514CD3"/>
    <w:rsid w:val="00522EC9"/>
    <w:rsid w:val="00532D78"/>
    <w:rsid w:val="005510C9"/>
    <w:rsid w:val="00554A29"/>
    <w:rsid w:val="005551CF"/>
    <w:rsid w:val="00572B13"/>
    <w:rsid w:val="00573631"/>
    <w:rsid w:val="00591EFC"/>
    <w:rsid w:val="00595B53"/>
    <w:rsid w:val="005C204C"/>
    <w:rsid w:val="005C7037"/>
    <w:rsid w:val="0065689A"/>
    <w:rsid w:val="00657883"/>
    <w:rsid w:val="00685B35"/>
    <w:rsid w:val="00693190"/>
    <w:rsid w:val="006A4C71"/>
    <w:rsid w:val="006B1F36"/>
    <w:rsid w:val="006D0CCF"/>
    <w:rsid w:val="00705343"/>
    <w:rsid w:val="00705B90"/>
    <w:rsid w:val="00711830"/>
    <w:rsid w:val="007363F8"/>
    <w:rsid w:val="007448CB"/>
    <w:rsid w:val="007608B3"/>
    <w:rsid w:val="0076093A"/>
    <w:rsid w:val="0077448C"/>
    <w:rsid w:val="0078595D"/>
    <w:rsid w:val="00787CA4"/>
    <w:rsid w:val="007A096B"/>
    <w:rsid w:val="007B6F3F"/>
    <w:rsid w:val="007C16F7"/>
    <w:rsid w:val="007D1F1F"/>
    <w:rsid w:val="007E6304"/>
    <w:rsid w:val="00807274"/>
    <w:rsid w:val="008111F5"/>
    <w:rsid w:val="008175BF"/>
    <w:rsid w:val="00820C9C"/>
    <w:rsid w:val="00824B5F"/>
    <w:rsid w:val="008611A4"/>
    <w:rsid w:val="00871B16"/>
    <w:rsid w:val="00881ECB"/>
    <w:rsid w:val="008A4735"/>
    <w:rsid w:val="008B642E"/>
    <w:rsid w:val="008D7EA9"/>
    <w:rsid w:val="008E3B1D"/>
    <w:rsid w:val="008E553E"/>
    <w:rsid w:val="008E5BB8"/>
    <w:rsid w:val="008E787A"/>
    <w:rsid w:val="008F6376"/>
    <w:rsid w:val="00934A9B"/>
    <w:rsid w:val="009419BF"/>
    <w:rsid w:val="00954962"/>
    <w:rsid w:val="009E7EBA"/>
    <w:rsid w:val="009F32C4"/>
    <w:rsid w:val="00A03F39"/>
    <w:rsid w:val="00A149E6"/>
    <w:rsid w:val="00A37072"/>
    <w:rsid w:val="00A57F76"/>
    <w:rsid w:val="00A65563"/>
    <w:rsid w:val="00A65FFE"/>
    <w:rsid w:val="00A718D1"/>
    <w:rsid w:val="00A72C52"/>
    <w:rsid w:val="00A92BF8"/>
    <w:rsid w:val="00A9650D"/>
    <w:rsid w:val="00AB4DAF"/>
    <w:rsid w:val="00AC25B7"/>
    <w:rsid w:val="00AD6782"/>
    <w:rsid w:val="00AE25B4"/>
    <w:rsid w:val="00B010BF"/>
    <w:rsid w:val="00B06508"/>
    <w:rsid w:val="00B45FED"/>
    <w:rsid w:val="00B46ED1"/>
    <w:rsid w:val="00B51F69"/>
    <w:rsid w:val="00B61FB9"/>
    <w:rsid w:val="00BA0842"/>
    <w:rsid w:val="00BA60D6"/>
    <w:rsid w:val="00BB1B0F"/>
    <w:rsid w:val="00BB7D5A"/>
    <w:rsid w:val="00BD215B"/>
    <w:rsid w:val="00BF3E49"/>
    <w:rsid w:val="00C10614"/>
    <w:rsid w:val="00C330F8"/>
    <w:rsid w:val="00C358A2"/>
    <w:rsid w:val="00C651BA"/>
    <w:rsid w:val="00C93794"/>
    <w:rsid w:val="00CA2ED7"/>
    <w:rsid w:val="00CA762E"/>
    <w:rsid w:val="00CB141F"/>
    <w:rsid w:val="00CE6D31"/>
    <w:rsid w:val="00D15124"/>
    <w:rsid w:val="00D37BC3"/>
    <w:rsid w:val="00D41DD0"/>
    <w:rsid w:val="00D45C9D"/>
    <w:rsid w:val="00D53031"/>
    <w:rsid w:val="00D53AFD"/>
    <w:rsid w:val="00D71C1F"/>
    <w:rsid w:val="00D958E3"/>
    <w:rsid w:val="00E171E6"/>
    <w:rsid w:val="00E25220"/>
    <w:rsid w:val="00E8217D"/>
    <w:rsid w:val="00EA1E74"/>
    <w:rsid w:val="00EC453C"/>
    <w:rsid w:val="00ED1762"/>
    <w:rsid w:val="00ED76C4"/>
    <w:rsid w:val="00EF157A"/>
    <w:rsid w:val="00F171D0"/>
    <w:rsid w:val="00F27967"/>
    <w:rsid w:val="00F42AA4"/>
    <w:rsid w:val="00F47AB5"/>
    <w:rsid w:val="00F509AE"/>
    <w:rsid w:val="00F6192B"/>
    <w:rsid w:val="00F62B26"/>
    <w:rsid w:val="00F6602E"/>
    <w:rsid w:val="00F906F2"/>
    <w:rsid w:val="00FB60B1"/>
    <w:rsid w:val="00FB7C7E"/>
    <w:rsid w:val="00FC1CCD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FEFBC-A1F2-4D0F-AD6F-4257D389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</TotalTime>
  <Pages>3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Maria Maribel Veras Castillo</cp:lastModifiedBy>
  <cp:revision>63</cp:revision>
  <cp:lastPrinted>2018-01-03T20:32:00Z</cp:lastPrinted>
  <dcterms:created xsi:type="dcterms:W3CDTF">2014-12-02T13:32:00Z</dcterms:created>
  <dcterms:modified xsi:type="dcterms:W3CDTF">2018-04-04T12:41:00Z</dcterms:modified>
</cp:coreProperties>
</file>