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E02E33" w:rsidP="00532D7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Octubre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E02E33">
        <w:t>Octubre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C651BA">
        <w:t>tres</w:t>
      </w:r>
      <w:r w:rsidR="000611EA">
        <w:t xml:space="preserve"> </w:t>
      </w:r>
      <w:r w:rsidR="00705343">
        <w:t>(</w:t>
      </w:r>
      <w:r w:rsidR="00532D78">
        <w:t>0</w:t>
      </w:r>
      <w:r w:rsidR="00C651BA">
        <w:t>3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217"/>
        <w:gridCol w:w="1243"/>
        <w:gridCol w:w="1127"/>
        <w:gridCol w:w="1113"/>
        <w:gridCol w:w="1030"/>
        <w:gridCol w:w="1867"/>
      </w:tblGrid>
      <w:tr w:rsidR="002518E6" w:rsidRPr="005C204C" w:rsidTr="00E02E33">
        <w:trPr>
          <w:trHeight w:val="676"/>
          <w:jc w:val="center"/>
        </w:trPr>
        <w:tc>
          <w:tcPr>
            <w:tcW w:w="1206" w:type="dxa"/>
            <w:shd w:val="clear" w:color="auto" w:fill="DBE5F1"/>
            <w:vAlign w:val="center"/>
          </w:tcPr>
          <w:p w:rsidR="0078595D" w:rsidRPr="005C204C" w:rsidRDefault="00E02E33" w:rsidP="00E02E33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  <w:r w:rsidRPr="005C204C">
              <w:rPr>
                <w:b/>
              </w:rPr>
              <w:t xml:space="preserve"> </w:t>
            </w:r>
          </w:p>
        </w:tc>
        <w:tc>
          <w:tcPr>
            <w:tcW w:w="1217" w:type="dxa"/>
            <w:shd w:val="clear" w:color="auto" w:fill="DBE5F1"/>
            <w:vAlign w:val="center"/>
          </w:tcPr>
          <w:p w:rsidR="0078595D" w:rsidRPr="005C204C" w:rsidRDefault="00E02E33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4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2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13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30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867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E02E33">
        <w:trPr>
          <w:trHeight w:val="541"/>
          <w:jc w:val="center"/>
        </w:trPr>
        <w:tc>
          <w:tcPr>
            <w:tcW w:w="1206" w:type="dxa"/>
            <w:vAlign w:val="center"/>
          </w:tcPr>
          <w:p w:rsidR="0078595D" w:rsidRDefault="00532D78" w:rsidP="00E02E3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76093A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E02E3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17" w:type="dxa"/>
            <w:vAlign w:val="center"/>
          </w:tcPr>
          <w:p w:rsidR="0078595D" w:rsidRDefault="00E02E33" w:rsidP="00C651BA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11/10/2017</w:t>
            </w:r>
          </w:p>
        </w:tc>
        <w:tc>
          <w:tcPr>
            <w:tcW w:w="1243" w:type="dxa"/>
            <w:vAlign w:val="center"/>
          </w:tcPr>
          <w:p w:rsidR="0078595D" w:rsidRPr="00AE25B4" w:rsidRDefault="0076093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78595D" w:rsidRPr="00AE25B4" w:rsidRDefault="0076093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78595D" w:rsidRDefault="00E02E33" w:rsidP="00ED176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</w:tcPr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02E33" w:rsidRDefault="00E02E33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02E33" w:rsidRDefault="00E02E33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Pr="000611E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67" w:type="dxa"/>
            <w:vAlign w:val="center"/>
          </w:tcPr>
          <w:p w:rsidR="00E02E33" w:rsidRPr="00E02E33" w:rsidRDefault="00E02E33" w:rsidP="00E02E33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02E33">
              <w:rPr>
                <w:rFonts w:asciiTheme="minorHAnsi" w:hAnsiTheme="minorHAnsi" w:cs="Arial"/>
                <w:color w:val="000000"/>
                <w:sz w:val="20"/>
                <w:szCs w:val="20"/>
              </w:rPr>
              <w:t>Consumo de energía de las diferentes regiones del país</w:t>
            </w:r>
          </w:p>
          <w:p w:rsidR="0078595D" w:rsidRPr="00AE25B4" w:rsidRDefault="00E02E33" w:rsidP="00E02E33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02E33">
              <w:rPr>
                <w:rFonts w:asciiTheme="minorHAnsi" w:hAnsiTheme="minorHAnsi" w:cs="Arial"/>
                <w:color w:val="000000"/>
                <w:sz w:val="20"/>
                <w:szCs w:val="20"/>
              </w:rPr>
              <w:t>10 subestaciones principales de la región norte,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E02E33">
              <w:rPr>
                <w:rFonts w:asciiTheme="minorHAnsi" w:hAnsiTheme="minorHAnsi" w:cs="Arial"/>
                <w:color w:val="000000"/>
                <w:sz w:val="20"/>
                <w:szCs w:val="20"/>
              </w:rPr>
              <w:t>capacidad y tipos de subestaciones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</w:tr>
      <w:tr w:rsidR="00657883" w:rsidRPr="005C204C" w:rsidTr="00E02E33">
        <w:trPr>
          <w:trHeight w:val="1709"/>
          <w:jc w:val="center"/>
        </w:trPr>
        <w:tc>
          <w:tcPr>
            <w:tcW w:w="1206" w:type="dxa"/>
            <w:vAlign w:val="center"/>
          </w:tcPr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76093A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E02E3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57883" w:rsidRDefault="00954FD8" w:rsidP="00554A2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20/10/2017</w:t>
            </w:r>
          </w:p>
        </w:tc>
        <w:tc>
          <w:tcPr>
            <w:tcW w:w="1243" w:type="dxa"/>
            <w:vAlign w:val="center"/>
          </w:tcPr>
          <w:p w:rsidR="00657883" w:rsidRDefault="003E5BE8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657883" w:rsidRDefault="00954FD8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C651BA" w:rsidRDefault="00ED1762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</w:t>
            </w:r>
            <w:r w:rsidR="00C651B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No</w:t>
            </w:r>
          </w:p>
          <w:p w:rsidR="00657883" w:rsidRDefault="00657883" w:rsidP="0076093A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867" w:type="dxa"/>
            <w:vAlign w:val="center"/>
          </w:tcPr>
          <w:p w:rsidR="00657883" w:rsidRPr="004C481F" w:rsidRDefault="00954FD8" w:rsidP="00C651BA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FD8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Facturas Consumos mes de Septiembre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, Progreso el Limón.</w:t>
            </w:r>
          </w:p>
        </w:tc>
      </w:tr>
      <w:tr w:rsidR="00C651BA" w:rsidRPr="005C204C" w:rsidTr="00E02E33">
        <w:trPr>
          <w:trHeight w:val="1595"/>
          <w:jc w:val="center"/>
        </w:trPr>
        <w:tc>
          <w:tcPr>
            <w:tcW w:w="1206" w:type="dxa"/>
            <w:vAlign w:val="center"/>
          </w:tcPr>
          <w:p w:rsidR="00C651BA" w:rsidRDefault="00C651BA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651BA" w:rsidRDefault="00E02E33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EDN-OAI-038</w:t>
            </w:r>
            <w:r w:rsidR="00C651BA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C651BA" w:rsidRDefault="00C651BA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C651BA" w:rsidRDefault="00954FD8" w:rsidP="00C651B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20/10/2017</w:t>
            </w:r>
          </w:p>
        </w:tc>
        <w:tc>
          <w:tcPr>
            <w:tcW w:w="1243" w:type="dxa"/>
            <w:vAlign w:val="center"/>
          </w:tcPr>
          <w:p w:rsidR="00C651BA" w:rsidRDefault="00954FD8" w:rsidP="00C651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C651BA" w:rsidRDefault="003E5BE8" w:rsidP="00C651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C651BA" w:rsidRDefault="00954FD8" w:rsidP="00C651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0" w:type="dxa"/>
          </w:tcPr>
          <w:p w:rsidR="00C651BA" w:rsidRDefault="00C651BA" w:rsidP="00954FD8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954FD8" w:rsidRDefault="00954FD8" w:rsidP="00954FD8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67" w:type="dxa"/>
            <w:vAlign w:val="center"/>
          </w:tcPr>
          <w:p w:rsidR="00C651BA" w:rsidRPr="004C481F" w:rsidRDefault="00954FD8" w:rsidP="00954FD8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FD8">
              <w:rPr>
                <w:rFonts w:asciiTheme="minorHAnsi" w:hAnsiTheme="minorHAnsi" w:cs="Arial"/>
                <w:color w:val="000000"/>
                <w:sz w:val="20"/>
                <w:szCs w:val="20"/>
              </w:rPr>
              <w:t>Grado de satisfacción e incentivos laborales en función de los diferentes niveles estructurales de la empresa.</w:t>
            </w:r>
          </w:p>
        </w:tc>
      </w:tr>
      <w:tr w:rsidR="00E02E33" w:rsidRPr="005C204C" w:rsidTr="00E02E33">
        <w:trPr>
          <w:trHeight w:val="1595"/>
          <w:jc w:val="center"/>
        </w:trPr>
        <w:tc>
          <w:tcPr>
            <w:tcW w:w="1206" w:type="dxa"/>
            <w:vAlign w:val="center"/>
          </w:tcPr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EDN-OAI-039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02E33" w:rsidRDefault="00954FD8" w:rsidP="00E02E3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30/10/2017</w:t>
            </w:r>
          </w:p>
        </w:tc>
        <w:tc>
          <w:tcPr>
            <w:tcW w:w="1243" w:type="dxa"/>
            <w:vAlign w:val="center"/>
          </w:tcPr>
          <w:p w:rsidR="00E02E33" w:rsidRDefault="00954FD8" w:rsidP="00E02E3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E02E33" w:rsidRDefault="00954FD8" w:rsidP="00E02E3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E02E33" w:rsidRDefault="00954FD8" w:rsidP="00E02E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</w:tcPr>
          <w:p w:rsidR="00E02E33" w:rsidRDefault="00E02E33" w:rsidP="00E02E33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954FD8" w:rsidRDefault="00954FD8" w:rsidP="00E02E33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67" w:type="dxa"/>
            <w:vAlign w:val="center"/>
          </w:tcPr>
          <w:p w:rsidR="00E02E33" w:rsidRPr="00C651BA" w:rsidRDefault="00954FD8" w:rsidP="00954FD8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FD8">
              <w:rPr>
                <w:rFonts w:asciiTheme="minorHAnsi" w:hAnsiTheme="minorHAnsi" w:cs="Arial"/>
                <w:color w:val="000000"/>
                <w:sz w:val="20"/>
                <w:szCs w:val="20"/>
              </w:rPr>
              <w:t>Evaluación Técnica LPN-05-2017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, DP Internacional.</w:t>
            </w:r>
          </w:p>
        </w:tc>
      </w:tr>
      <w:tr w:rsidR="00E02E33" w:rsidRPr="005C204C" w:rsidTr="00E02E33">
        <w:trPr>
          <w:trHeight w:val="1595"/>
          <w:jc w:val="center"/>
        </w:trPr>
        <w:tc>
          <w:tcPr>
            <w:tcW w:w="1206" w:type="dxa"/>
            <w:vAlign w:val="center"/>
          </w:tcPr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EDN-OAI-040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02E33" w:rsidRDefault="00954FD8" w:rsidP="00E02E3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30/10/2017</w:t>
            </w:r>
          </w:p>
        </w:tc>
        <w:tc>
          <w:tcPr>
            <w:tcW w:w="1243" w:type="dxa"/>
            <w:vAlign w:val="center"/>
          </w:tcPr>
          <w:p w:rsidR="00E02E33" w:rsidRDefault="00954FD8" w:rsidP="00E02E3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E02E33" w:rsidRDefault="00954FD8" w:rsidP="00E02E3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E02E33" w:rsidRDefault="00954FD8" w:rsidP="00E02E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</w:tcPr>
          <w:p w:rsidR="00E02E33" w:rsidRDefault="00E02E33" w:rsidP="00954FD8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954FD8" w:rsidRDefault="00954FD8" w:rsidP="00954FD8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954FD8" w:rsidRDefault="00954FD8" w:rsidP="00954FD8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67" w:type="dxa"/>
            <w:vAlign w:val="center"/>
          </w:tcPr>
          <w:p w:rsidR="00E02E33" w:rsidRPr="00C651BA" w:rsidRDefault="00954FD8" w:rsidP="00954FD8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FD8">
              <w:rPr>
                <w:rFonts w:asciiTheme="minorHAnsi" w:hAnsiTheme="minorHAnsi" w:cs="Arial"/>
                <w:color w:val="000000"/>
                <w:sz w:val="20"/>
                <w:szCs w:val="20"/>
              </w:rPr>
              <w:t>Evaluación Técnica LPN-05-2017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Grupo Copsol.</w:t>
            </w:r>
          </w:p>
        </w:tc>
      </w:tr>
      <w:tr w:rsidR="00E02E33" w:rsidRPr="005C204C" w:rsidTr="00E02E33">
        <w:trPr>
          <w:trHeight w:val="1595"/>
          <w:jc w:val="center"/>
        </w:trPr>
        <w:tc>
          <w:tcPr>
            <w:tcW w:w="1206" w:type="dxa"/>
            <w:vAlign w:val="center"/>
          </w:tcPr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EDN-OAI-041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02E33" w:rsidRDefault="00954FD8" w:rsidP="00E02E3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30/10/2017</w:t>
            </w:r>
          </w:p>
        </w:tc>
        <w:tc>
          <w:tcPr>
            <w:tcW w:w="1243" w:type="dxa"/>
            <w:vAlign w:val="center"/>
          </w:tcPr>
          <w:p w:rsidR="00E02E33" w:rsidRDefault="00954FD8" w:rsidP="00E02E3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E02E33" w:rsidRDefault="00954FD8" w:rsidP="00E02E3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E02E33" w:rsidRDefault="00954FD8" w:rsidP="00E02E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</w:tcPr>
          <w:p w:rsidR="00E02E33" w:rsidRDefault="00E02E33" w:rsidP="00E02E33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954FD8" w:rsidRDefault="00954FD8" w:rsidP="00954FD8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No</w:t>
            </w:r>
          </w:p>
        </w:tc>
        <w:tc>
          <w:tcPr>
            <w:tcW w:w="1867" w:type="dxa"/>
            <w:vAlign w:val="center"/>
          </w:tcPr>
          <w:p w:rsidR="00E02E33" w:rsidRPr="00C651BA" w:rsidRDefault="00954FD8" w:rsidP="00954FD8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FD8">
              <w:rPr>
                <w:rFonts w:asciiTheme="minorHAnsi" w:hAnsiTheme="minorHAnsi" w:cs="Arial"/>
                <w:color w:val="000000"/>
                <w:sz w:val="20"/>
                <w:szCs w:val="20"/>
              </w:rPr>
              <w:t>Evaluación Técnica LPN-05-2017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Ranger Import.</w:t>
            </w:r>
          </w:p>
        </w:tc>
      </w:tr>
      <w:tr w:rsidR="00E02E33" w:rsidRPr="005C204C" w:rsidTr="00E02E33">
        <w:trPr>
          <w:trHeight w:val="1595"/>
          <w:jc w:val="center"/>
        </w:trPr>
        <w:tc>
          <w:tcPr>
            <w:tcW w:w="1206" w:type="dxa"/>
            <w:vAlign w:val="center"/>
          </w:tcPr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EDN-OAI-042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E02E33" w:rsidRDefault="00E02E33" w:rsidP="00E02E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E02E33" w:rsidRDefault="00954FD8" w:rsidP="00E02E3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30/10/2017</w:t>
            </w:r>
          </w:p>
        </w:tc>
        <w:tc>
          <w:tcPr>
            <w:tcW w:w="1243" w:type="dxa"/>
            <w:vAlign w:val="center"/>
          </w:tcPr>
          <w:p w:rsidR="00E02E33" w:rsidRDefault="00954FD8" w:rsidP="00E02E3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E02E33" w:rsidRDefault="00954FD8" w:rsidP="00E02E33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E02E33" w:rsidRDefault="00954FD8" w:rsidP="00E02E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</w:tcPr>
          <w:p w:rsidR="00E02E33" w:rsidRDefault="00E02E33" w:rsidP="00E02E33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954FD8" w:rsidRDefault="00954FD8" w:rsidP="00E02E33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67" w:type="dxa"/>
            <w:vAlign w:val="center"/>
          </w:tcPr>
          <w:p w:rsidR="00E02E33" w:rsidRPr="00C651BA" w:rsidRDefault="00954FD8" w:rsidP="00954FD8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54FD8">
              <w:rPr>
                <w:rFonts w:asciiTheme="minorHAnsi" w:hAnsiTheme="minorHAnsi" w:cs="Arial"/>
                <w:color w:val="000000"/>
                <w:sz w:val="20"/>
                <w:szCs w:val="20"/>
              </w:rPr>
              <w:t>Evaluación Técnica LPN-05-2017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Solomon.</w:t>
            </w:r>
          </w:p>
        </w:tc>
      </w:tr>
    </w:tbl>
    <w:p w:rsidR="0076093A" w:rsidRDefault="0076093A" w:rsidP="00F171D0">
      <w:pPr>
        <w:spacing w:after="0" w:line="240" w:lineRule="auto"/>
        <w:jc w:val="both"/>
      </w:pPr>
    </w:p>
    <w:p w:rsidR="00703E35" w:rsidRDefault="00703E35" w:rsidP="00703E35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De las solicitudes antes indicadas cabe señalar lo siguiente:</w:t>
      </w:r>
    </w:p>
    <w:p w:rsidR="00703E35" w:rsidRPr="00AA36F2" w:rsidRDefault="00703E35" w:rsidP="00703E35">
      <w:pPr>
        <w:spacing w:after="0" w:line="240" w:lineRule="auto"/>
        <w:jc w:val="both"/>
        <w:rPr>
          <w:color w:val="000000"/>
        </w:rPr>
      </w:pPr>
    </w:p>
    <w:p w:rsidR="00703E35" w:rsidRPr="00AA36F2" w:rsidRDefault="00703E35" w:rsidP="00703E3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L</w:t>
      </w:r>
      <w:r w:rsidRPr="00AA36F2">
        <w:rPr>
          <w:color w:val="000000"/>
        </w:rPr>
        <w:t xml:space="preserve">as </w:t>
      </w:r>
      <w:r>
        <w:rPr>
          <w:color w:val="000000"/>
        </w:rPr>
        <w:t>siete</w:t>
      </w:r>
      <w:r w:rsidRPr="00AA36F2">
        <w:rPr>
          <w:color w:val="000000"/>
        </w:rPr>
        <w:t xml:space="preserve"> (</w:t>
      </w:r>
      <w:r>
        <w:rPr>
          <w:color w:val="000000"/>
        </w:rPr>
        <w:t>0</w:t>
      </w:r>
      <w:r>
        <w:rPr>
          <w:color w:val="000000"/>
        </w:rPr>
        <w:t>7</w:t>
      </w:r>
      <w:r w:rsidRPr="00AA36F2">
        <w:rPr>
          <w:color w:val="000000"/>
        </w:rPr>
        <w:t>) solicitudes fueron concluidas, es decir, fue entregada la información requerida dentro de los plazos establecidos en la Ley No. 200-04 General de Libre Acceso a la Información Pública.</w:t>
      </w:r>
    </w:p>
    <w:p w:rsidR="00703E35" w:rsidRPr="00AA36F2" w:rsidRDefault="00703E35" w:rsidP="00703E35">
      <w:pPr>
        <w:spacing w:after="0" w:line="240" w:lineRule="auto"/>
        <w:jc w:val="both"/>
        <w:rPr>
          <w:color w:val="000000"/>
        </w:rPr>
      </w:pPr>
    </w:p>
    <w:p w:rsidR="00703E35" w:rsidRPr="00AA36F2" w:rsidRDefault="00703E35" w:rsidP="00703E3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rPr>
          <w:color w:val="000000"/>
        </w:rPr>
        <w:t xml:space="preserve">El tiempo promedio de respuesta a las solicitudes es de </w:t>
      </w:r>
      <w:r>
        <w:rPr>
          <w:color w:val="000000"/>
        </w:rPr>
        <w:t xml:space="preserve">01 a </w:t>
      </w:r>
      <w:r>
        <w:rPr>
          <w:color w:val="000000"/>
        </w:rPr>
        <w:t>14</w:t>
      </w:r>
      <w:r w:rsidRPr="00AA36F2">
        <w:rPr>
          <w:color w:val="000000"/>
        </w:rPr>
        <w:t xml:space="preserve"> días.</w:t>
      </w:r>
    </w:p>
    <w:p w:rsidR="00703E35" w:rsidRPr="00AA36F2" w:rsidRDefault="00703E35" w:rsidP="00703E35">
      <w:pPr>
        <w:pStyle w:val="Prrafodelista"/>
      </w:pPr>
    </w:p>
    <w:p w:rsidR="00703E35" w:rsidRPr="006A4C71" w:rsidRDefault="00703E35" w:rsidP="00703E3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No fue necesario hacer uso de prórroga del plazo e</w:t>
      </w:r>
      <w:r>
        <w:t xml:space="preserve">n ninguna de las solicitudes ni hubo </w:t>
      </w:r>
      <w:r w:rsidRPr="00AA36F2">
        <w:t>solicitud de aclaración adicional al solicitante.</w:t>
      </w:r>
    </w:p>
    <w:p w:rsidR="00703E35" w:rsidRDefault="00703E35" w:rsidP="00703E35">
      <w:pPr>
        <w:pStyle w:val="Prrafodelista"/>
      </w:pPr>
    </w:p>
    <w:p w:rsidR="00703E35" w:rsidRPr="006A4C71" w:rsidRDefault="00703E35" w:rsidP="00703E3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Una (01) fue realizada a</w:t>
      </w:r>
      <w:r>
        <w:t>l</w:t>
      </w:r>
      <w:r w:rsidRPr="00AA36F2">
        <w:t xml:space="preserve"> </w:t>
      </w:r>
      <w:r w:rsidR="0057097F">
        <w:t>CDEEE</w:t>
      </w:r>
      <w:r w:rsidRPr="006A4C71">
        <w:t xml:space="preserve"> </w:t>
      </w:r>
      <w:r w:rsidRPr="00AA36F2">
        <w:t>y posteriormente remitida a Edenorte por ser la entidad competente, es decir, con la información solicitada</w:t>
      </w:r>
      <w:r>
        <w:tab/>
      </w:r>
    </w:p>
    <w:p w:rsidR="00703E35" w:rsidRPr="006A4C71" w:rsidRDefault="00703E35" w:rsidP="00703E35">
      <w:pPr>
        <w:spacing w:after="0" w:line="240" w:lineRule="auto"/>
        <w:jc w:val="both"/>
        <w:rPr>
          <w:color w:val="000000"/>
        </w:rPr>
      </w:pPr>
    </w:p>
    <w:p w:rsidR="00703E35" w:rsidRPr="00871B16" w:rsidRDefault="00703E35" w:rsidP="00703E3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 xml:space="preserve">En </w:t>
      </w:r>
      <w:r w:rsidR="0057097F">
        <w:t>los siete (07)</w:t>
      </w:r>
      <w:bookmarkStart w:id="0" w:name="_GoBack"/>
      <w:bookmarkEnd w:id="0"/>
      <w:r w:rsidR="0057097F">
        <w:t xml:space="preserve"> casos presentados</w:t>
      </w:r>
      <w:r w:rsidRPr="00AA36F2">
        <w:t xml:space="preserve"> la respuesta fue entregada vía </w:t>
      </w:r>
      <w:r>
        <w:t>correo Electrónico.</w:t>
      </w:r>
    </w:p>
    <w:p w:rsidR="00D15124" w:rsidRPr="00D15124" w:rsidRDefault="00D15124" w:rsidP="00703E35">
      <w:pPr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7AE" w:rsidRDefault="002507AE" w:rsidP="008E3B1D">
      <w:pPr>
        <w:spacing w:after="0" w:line="240" w:lineRule="auto"/>
      </w:pPr>
      <w:r>
        <w:separator/>
      </w:r>
    </w:p>
  </w:endnote>
  <w:endnote w:type="continuationSeparator" w:id="0">
    <w:p w:rsidR="002507AE" w:rsidRDefault="002507AE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7AE" w:rsidRDefault="002507AE" w:rsidP="008E3B1D">
      <w:pPr>
        <w:spacing w:after="0" w:line="240" w:lineRule="auto"/>
      </w:pPr>
      <w:r>
        <w:separator/>
      </w:r>
    </w:p>
  </w:footnote>
  <w:footnote w:type="continuationSeparator" w:id="0">
    <w:p w:rsidR="002507AE" w:rsidRDefault="002507AE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54BA8"/>
    <w:rsid w:val="000611EA"/>
    <w:rsid w:val="000755A9"/>
    <w:rsid w:val="000A2AB4"/>
    <w:rsid w:val="00101B80"/>
    <w:rsid w:val="00101C0B"/>
    <w:rsid w:val="00115025"/>
    <w:rsid w:val="00175903"/>
    <w:rsid w:val="00185C9D"/>
    <w:rsid w:val="001B60B3"/>
    <w:rsid w:val="001D043A"/>
    <w:rsid w:val="001F1FC3"/>
    <w:rsid w:val="00225D47"/>
    <w:rsid w:val="00243522"/>
    <w:rsid w:val="002507AE"/>
    <w:rsid w:val="002518E6"/>
    <w:rsid w:val="00265DC1"/>
    <w:rsid w:val="002E51B8"/>
    <w:rsid w:val="002F73BD"/>
    <w:rsid w:val="00305416"/>
    <w:rsid w:val="00327283"/>
    <w:rsid w:val="00384585"/>
    <w:rsid w:val="00391D38"/>
    <w:rsid w:val="003E5BE8"/>
    <w:rsid w:val="003E74C8"/>
    <w:rsid w:val="00420CE4"/>
    <w:rsid w:val="004C481F"/>
    <w:rsid w:val="004F5F0C"/>
    <w:rsid w:val="00532D78"/>
    <w:rsid w:val="005510C9"/>
    <w:rsid w:val="00554A29"/>
    <w:rsid w:val="0057097F"/>
    <w:rsid w:val="00572B13"/>
    <w:rsid w:val="00573631"/>
    <w:rsid w:val="00591EFC"/>
    <w:rsid w:val="00595B53"/>
    <w:rsid w:val="005C204C"/>
    <w:rsid w:val="005C7037"/>
    <w:rsid w:val="00657883"/>
    <w:rsid w:val="00693190"/>
    <w:rsid w:val="006A4C71"/>
    <w:rsid w:val="006B1F36"/>
    <w:rsid w:val="006D0CCF"/>
    <w:rsid w:val="00703E35"/>
    <w:rsid w:val="00705343"/>
    <w:rsid w:val="00705B90"/>
    <w:rsid w:val="00711830"/>
    <w:rsid w:val="007448CB"/>
    <w:rsid w:val="007608B3"/>
    <w:rsid w:val="0076093A"/>
    <w:rsid w:val="0077448C"/>
    <w:rsid w:val="0078595D"/>
    <w:rsid w:val="00787CA4"/>
    <w:rsid w:val="007A096B"/>
    <w:rsid w:val="007B6F3F"/>
    <w:rsid w:val="007D1F1F"/>
    <w:rsid w:val="007E6304"/>
    <w:rsid w:val="008111F5"/>
    <w:rsid w:val="008175BF"/>
    <w:rsid w:val="00820C9C"/>
    <w:rsid w:val="00824B5F"/>
    <w:rsid w:val="00871B16"/>
    <w:rsid w:val="00881ECB"/>
    <w:rsid w:val="008A4735"/>
    <w:rsid w:val="008B642E"/>
    <w:rsid w:val="008E3B1D"/>
    <w:rsid w:val="008E553E"/>
    <w:rsid w:val="008E5BB8"/>
    <w:rsid w:val="008F6376"/>
    <w:rsid w:val="00954962"/>
    <w:rsid w:val="00954FD8"/>
    <w:rsid w:val="009E7EBA"/>
    <w:rsid w:val="009F32C4"/>
    <w:rsid w:val="00A03F39"/>
    <w:rsid w:val="00A149E6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A2ED7"/>
    <w:rsid w:val="00CA762E"/>
    <w:rsid w:val="00CB141F"/>
    <w:rsid w:val="00CE6D31"/>
    <w:rsid w:val="00D15124"/>
    <w:rsid w:val="00D37BC3"/>
    <w:rsid w:val="00D41DD0"/>
    <w:rsid w:val="00D45C9D"/>
    <w:rsid w:val="00D71C1F"/>
    <w:rsid w:val="00D958E3"/>
    <w:rsid w:val="00E02E33"/>
    <w:rsid w:val="00EC453C"/>
    <w:rsid w:val="00ED1762"/>
    <w:rsid w:val="00EF157A"/>
    <w:rsid w:val="00F171D0"/>
    <w:rsid w:val="00F27967"/>
    <w:rsid w:val="00F47AB5"/>
    <w:rsid w:val="00F6192B"/>
    <w:rsid w:val="00F62B26"/>
    <w:rsid w:val="00F6602E"/>
    <w:rsid w:val="00FB60B1"/>
    <w:rsid w:val="00FB7C7E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47C3B-F8D9-455A-BE7D-9DD17BBF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31</cp:revision>
  <cp:lastPrinted>2017-09-04T13:31:00Z</cp:lastPrinted>
  <dcterms:created xsi:type="dcterms:W3CDTF">2014-12-02T13:32:00Z</dcterms:created>
  <dcterms:modified xsi:type="dcterms:W3CDTF">2017-12-01T14:16:00Z</dcterms:modified>
</cp:coreProperties>
</file>