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76093A" w:rsidP="00532D7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Agosto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76093A">
        <w:t>Agosto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76093A">
        <w:t>dos</w:t>
      </w:r>
      <w:r w:rsidR="000611EA">
        <w:t xml:space="preserve"> </w:t>
      </w:r>
      <w:r w:rsidR="00705343">
        <w:t>(</w:t>
      </w:r>
      <w:r w:rsidR="00532D78">
        <w:t>0</w:t>
      </w:r>
      <w:r w:rsidR="0076093A">
        <w:t>2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236"/>
        <w:gridCol w:w="1264"/>
        <w:gridCol w:w="1127"/>
        <w:gridCol w:w="1113"/>
        <w:gridCol w:w="1043"/>
        <w:gridCol w:w="1905"/>
      </w:tblGrid>
      <w:tr w:rsidR="002518E6" w:rsidRPr="005C204C" w:rsidTr="0076093A">
        <w:trPr>
          <w:trHeight w:val="721"/>
          <w:jc w:val="center"/>
        </w:trPr>
        <w:tc>
          <w:tcPr>
            <w:tcW w:w="1224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36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264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2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13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43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905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76093A">
        <w:trPr>
          <w:trHeight w:val="1144"/>
          <w:jc w:val="center"/>
        </w:trPr>
        <w:tc>
          <w:tcPr>
            <w:tcW w:w="1224" w:type="dxa"/>
            <w:vAlign w:val="center"/>
          </w:tcPr>
          <w:p w:rsidR="0078595D" w:rsidRDefault="00532D78" w:rsidP="0076093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76093A"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36" w:type="dxa"/>
            <w:vAlign w:val="center"/>
          </w:tcPr>
          <w:p w:rsidR="0078595D" w:rsidRDefault="0076093A" w:rsidP="00ED1762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14/8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64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78595D" w:rsidRDefault="0076093A" w:rsidP="00ED176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Pr="000611E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05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6093A">
              <w:rPr>
                <w:rFonts w:asciiTheme="minorHAnsi" w:hAnsiTheme="minorHAnsi" w:cs="Arial"/>
                <w:color w:val="000000"/>
                <w:sz w:val="20"/>
                <w:szCs w:val="20"/>
              </w:rPr>
              <w:t>Copia Norma de Distribución de baja y media tensión.</w:t>
            </w:r>
          </w:p>
        </w:tc>
      </w:tr>
      <w:tr w:rsidR="00657883" w:rsidRPr="005C204C" w:rsidTr="0076093A">
        <w:trPr>
          <w:trHeight w:val="1172"/>
          <w:jc w:val="center"/>
        </w:trPr>
        <w:tc>
          <w:tcPr>
            <w:tcW w:w="1224" w:type="dxa"/>
            <w:vAlign w:val="center"/>
          </w:tcPr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76093A">
              <w:rPr>
                <w:rFonts w:ascii="Arial" w:hAnsi="Arial" w:cs="Arial"/>
                <w:color w:val="000000"/>
                <w:sz w:val="20"/>
                <w:szCs w:val="20"/>
              </w:rPr>
              <w:t>032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657883" w:rsidRDefault="0076093A" w:rsidP="00554A2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25/8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64" w:type="dxa"/>
            <w:vAlign w:val="center"/>
          </w:tcPr>
          <w:p w:rsidR="00657883" w:rsidRDefault="0076093A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Pendiente de respuesta</w:t>
            </w:r>
          </w:p>
        </w:tc>
        <w:tc>
          <w:tcPr>
            <w:tcW w:w="112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657883" w:rsidRDefault="00657883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57883" w:rsidRDefault="00ED1762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</w:t>
            </w:r>
          </w:p>
          <w:p w:rsidR="00657883" w:rsidRDefault="00657883" w:rsidP="0076093A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905" w:type="dxa"/>
            <w:vAlign w:val="center"/>
          </w:tcPr>
          <w:p w:rsidR="0076093A" w:rsidRDefault="0076093A" w:rsidP="0076093A">
            <w:pPr>
              <w:spacing w:after="0" w:line="240" w:lineRule="auto"/>
            </w:pPr>
            <w:r>
              <w:t>-</w:t>
            </w:r>
            <w:r>
              <w:t>El estatus jurídico del inmueble</w:t>
            </w:r>
            <w:r>
              <w:t xml:space="preserve"> en Moca</w:t>
            </w:r>
            <w:r>
              <w:t>.</w:t>
            </w:r>
          </w:p>
          <w:p w:rsidR="0076093A" w:rsidRDefault="0076093A" w:rsidP="0076093A">
            <w:pPr>
              <w:spacing w:after="0" w:line="240" w:lineRule="auto"/>
            </w:pPr>
            <w:r>
              <w:t>-</w:t>
            </w:r>
            <w:r>
              <w:t>Si existe alguna Litis con el mismo.</w:t>
            </w:r>
          </w:p>
          <w:p w:rsidR="0076093A" w:rsidRDefault="0076093A" w:rsidP="0076093A">
            <w:pPr>
              <w:spacing w:after="0" w:line="240" w:lineRule="auto"/>
            </w:pPr>
            <w:r>
              <w:t>-</w:t>
            </w:r>
            <w:r>
              <w:t>En qué calidad lo ocupa la Corporación de Acueductos y Alcantarillados de Moca (CORAAMOCA).</w:t>
            </w:r>
          </w:p>
          <w:p w:rsidR="0076093A" w:rsidRDefault="0076093A" w:rsidP="0076093A">
            <w:pPr>
              <w:spacing w:after="0" w:line="240" w:lineRule="auto"/>
            </w:pPr>
            <w:r>
              <w:t>-</w:t>
            </w:r>
            <w:r>
              <w:t>En qué calidad lo ocupa el Ayuntamiento Municipal de Moca.</w:t>
            </w:r>
          </w:p>
          <w:p w:rsidR="0076093A" w:rsidRDefault="0076093A" w:rsidP="0076093A">
            <w:pPr>
              <w:spacing w:after="0" w:line="240" w:lineRule="auto"/>
            </w:pPr>
            <w:r>
              <w:t>Si existe algún acuerdo entre las partes involucradas para el uso del mismo.</w:t>
            </w:r>
          </w:p>
          <w:p w:rsidR="00657883" w:rsidRPr="004C481F" w:rsidRDefault="00657883" w:rsidP="00ED17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F171D0" w:rsidRDefault="00F171D0" w:rsidP="00F171D0">
      <w:pPr>
        <w:spacing w:after="0" w:line="240" w:lineRule="auto"/>
        <w:jc w:val="both"/>
      </w:pPr>
    </w:p>
    <w:p w:rsidR="0076093A" w:rsidRDefault="0076093A" w:rsidP="00F171D0">
      <w:pPr>
        <w:spacing w:after="0" w:line="240" w:lineRule="auto"/>
        <w:jc w:val="both"/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De las </w:t>
      </w:r>
      <w:r w:rsidR="0076093A">
        <w:rPr>
          <w:color w:val="000000"/>
        </w:rPr>
        <w:t>dos</w:t>
      </w:r>
      <w:r>
        <w:rPr>
          <w:color w:val="000000"/>
        </w:rPr>
        <w:t xml:space="preserve"> (</w:t>
      </w:r>
      <w:r w:rsidR="0076093A">
        <w:rPr>
          <w:color w:val="000000"/>
        </w:rPr>
        <w:t>02</w:t>
      </w:r>
      <w:r>
        <w:rPr>
          <w:color w:val="000000"/>
        </w:rPr>
        <w:t>) solicitudes antes indicadas cabe señalas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76093A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Una</w:t>
      </w:r>
      <w:r w:rsidR="00D45C9D">
        <w:rPr>
          <w:color w:val="000000"/>
        </w:rPr>
        <w:t xml:space="preserve"> </w:t>
      </w:r>
      <w:r w:rsidR="001D043A">
        <w:rPr>
          <w:color w:val="000000"/>
        </w:rPr>
        <w:t>solicitud fue</w:t>
      </w:r>
      <w:r w:rsidR="00F171D0">
        <w:rPr>
          <w:color w:val="000000"/>
        </w:rPr>
        <w:t xml:space="preserve"> concluida, es decir, fue entregada la información requerida dentro de los plazos establecidos en la Ley No. 200-04 General de Libre </w:t>
      </w:r>
      <w:r w:rsidR="00D45C9D">
        <w:rPr>
          <w:color w:val="000000"/>
        </w:rPr>
        <w:t>Acceso a la Información Pública.</w:t>
      </w:r>
    </w:p>
    <w:p w:rsidR="00D45C9D" w:rsidRPr="00D45C9D" w:rsidRDefault="00D45C9D" w:rsidP="00D45C9D">
      <w:pPr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 </w:t>
      </w:r>
      <w:r w:rsidR="00CB141F">
        <w:rPr>
          <w:color w:val="000000"/>
        </w:rPr>
        <w:t>solicitud</w:t>
      </w:r>
      <w:bookmarkStart w:id="0" w:name="_GoBack"/>
      <w:bookmarkEnd w:id="0"/>
      <w:r w:rsidR="00CB141F">
        <w:rPr>
          <w:color w:val="000000"/>
        </w:rPr>
        <w:t xml:space="preserve"> antes señalada</w:t>
      </w:r>
      <w:r w:rsidR="00C358A2">
        <w:rPr>
          <w:color w:val="000000"/>
        </w:rPr>
        <w:t xml:space="preserve"> es </w:t>
      </w:r>
      <w:r>
        <w:rPr>
          <w:color w:val="000000"/>
        </w:rPr>
        <w:t>de 0</w:t>
      </w:r>
      <w:r w:rsidR="0076093A">
        <w:rPr>
          <w:color w:val="000000"/>
        </w:rPr>
        <w:t xml:space="preserve">1 </w:t>
      </w:r>
      <w:r>
        <w:rPr>
          <w:color w:val="000000"/>
        </w:rPr>
        <w:t>día.</w:t>
      </w:r>
    </w:p>
    <w:p w:rsidR="00F171D0" w:rsidRDefault="00F171D0" w:rsidP="00F171D0">
      <w:pPr>
        <w:pStyle w:val="Prrafodelista"/>
      </w:pPr>
    </w:p>
    <w:p w:rsidR="00F171D0" w:rsidRDefault="00D45C9D" w:rsidP="00AB007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No fue</w:t>
      </w:r>
      <w:r w:rsidR="00F171D0">
        <w:t xml:space="preserve"> necesario hacer uso de prórroga.</w:t>
      </w:r>
    </w:p>
    <w:p w:rsidR="00F171D0" w:rsidRDefault="00F171D0" w:rsidP="00F171D0">
      <w:pPr>
        <w:spacing w:after="0" w:line="240" w:lineRule="auto"/>
        <w:jc w:val="both"/>
      </w:pPr>
    </w:p>
    <w:p w:rsidR="001D043A" w:rsidRPr="00CE6D31" w:rsidRDefault="001D043A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Una solicitud queda en trámite, la cual</w:t>
      </w:r>
      <w:r>
        <w:rPr>
          <w:color w:val="000000" w:themeColor="text1"/>
        </w:rPr>
        <w:t xml:space="preserve"> se encuentran dentro de los plazos establecidos por la Ley No. 200-04.</w:t>
      </w:r>
    </w:p>
    <w:p w:rsidR="00F171D0" w:rsidRPr="00CE6D31" w:rsidRDefault="00F171D0" w:rsidP="00F171D0">
      <w:pPr>
        <w:pStyle w:val="Prrafodelista"/>
        <w:rPr>
          <w:color w:val="000000"/>
        </w:rPr>
      </w:pPr>
    </w:p>
    <w:p w:rsidR="00D15124" w:rsidRPr="00D15124" w:rsidRDefault="00D15124" w:rsidP="00F171D0">
      <w:pPr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C8" w:rsidRDefault="003E74C8" w:rsidP="008E3B1D">
      <w:pPr>
        <w:spacing w:after="0" w:line="240" w:lineRule="auto"/>
      </w:pPr>
      <w:r>
        <w:separator/>
      </w:r>
    </w:p>
  </w:endnote>
  <w:endnote w:type="continuationSeparator" w:id="0">
    <w:p w:rsidR="003E74C8" w:rsidRDefault="003E74C8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C8" w:rsidRDefault="003E74C8" w:rsidP="008E3B1D">
      <w:pPr>
        <w:spacing w:after="0" w:line="240" w:lineRule="auto"/>
      </w:pPr>
      <w:r>
        <w:separator/>
      </w:r>
    </w:p>
  </w:footnote>
  <w:footnote w:type="continuationSeparator" w:id="0">
    <w:p w:rsidR="003E74C8" w:rsidRDefault="003E74C8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611EA"/>
    <w:rsid w:val="000755A9"/>
    <w:rsid w:val="000A2AB4"/>
    <w:rsid w:val="00101C0B"/>
    <w:rsid w:val="00115025"/>
    <w:rsid w:val="00175903"/>
    <w:rsid w:val="00185C9D"/>
    <w:rsid w:val="001B60B3"/>
    <w:rsid w:val="001D043A"/>
    <w:rsid w:val="001F1FC3"/>
    <w:rsid w:val="00225D47"/>
    <w:rsid w:val="00243522"/>
    <w:rsid w:val="002518E6"/>
    <w:rsid w:val="00265DC1"/>
    <w:rsid w:val="002E51B8"/>
    <w:rsid w:val="002F73BD"/>
    <w:rsid w:val="00305416"/>
    <w:rsid w:val="00327283"/>
    <w:rsid w:val="00384585"/>
    <w:rsid w:val="00391D38"/>
    <w:rsid w:val="003E74C8"/>
    <w:rsid w:val="00420CE4"/>
    <w:rsid w:val="004C481F"/>
    <w:rsid w:val="004F5F0C"/>
    <w:rsid w:val="00532D78"/>
    <w:rsid w:val="005510C9"/>
    <w:rsid w:val="00554A29"/>
    <w:rsid w:val="00572B13"/>
    <w:rsid w:val="00573631"/>
    <w:rsid w:val="00591EFC"/>
    <w:rsid w:val="00595B53"/>
    <w:rsid w:val="005C204C"/>
    <w:rsid w:val="005C7037"/>
    <w:rsid w:val="00657883"/>
    <w:rsid w:val="00693190"/>
    <w:rsid w:val="006A4C71"/>
    <w:rsid w:val="006B1F36"/>
    <w:rsid w:val="006D0CCF"/>
    <w:rsid w:val="00705343"/>
    <w:rsid w:val="00705B90"/>
    <w:rsid w:val="00711830"/>
    <w:rsid w:val="007448CB"/>
    <w:rsid w:val="007608B3"/>
    <w:rsid w:val="0076093A"/>
    <w:rsid w:val="0077448C"/>
    <w:rsid w:val="0078595D"/>
    <w:rsid w:val="00787CA4"/>
    <w:rsid w:val="007B6F3F"/>
    <w:rsid w:val="007D1F1F"/>
    <w:rsid w:val="007E6304"/>
    <w:rsid w:val="008111F5"/>
    <w:rsid w:val="008175BF"/>
    <w:rsid w:val="00820C9C"/>
    <w:rsid w:val="00824B5F"/>
    <w:rsid w:val="00871B16"/>
    <w:rsid w:val="008A4735"/>
    <w:rsid w:val="008B642E"/>
    <w:rsid w:val="008E3B1D"/>
    <w:rsid w:val="008E553E"/>
    <w:rsid w:val="008E5BB8"/>
    <w:rsid w:val="008F6376"/>
    <w:rsid w:val="00954962"/>
    <w:rsid w:val="009E7EBA"/>
    <w:rsid w:val="009F32C4"/>
    <w:rsid w:val="00A03F39"/>
    <w:rsid w:val="00A149E6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358A2"/>
    <w:rsid w:val="00CA2ED7"/>
    <w:rsid w:val="00CA762E"/>
    <w:rsid w:val="00CB141F"/>
    <w:rsid w:val="00CE6D31"/>
    <w:rsid w:val="00D15124"/>
    <w:rsid w:val="00D37BC3"/>
    <w:rsid w:val="00D41DD0"/>
    <w:rsid w:val="00D45C9D"/>
    <w:rsid w:val="00D71C1F"/>
    <w:rsid w:val="00D958E3"/>
    <w:rsid w:val="00EC453C"/>
    <w:rsid w:val="00ED1762"/>
    <w:rsid w:val="00EF157A"/>
    <w:rsid w:val="00F171D0"/>
    <w:rsid w:val="00F27967"/>
    <w:rsid w:val="00F6192B"/>
    <w:rsid w:val="00F62B26"/>
    <w:rsid w:val="00F6602E"/>
    <w:rsid w:val="00FB60B1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A6476-CB21-4F87-B5FA-9D9AA745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24</cp:revision>
  <cp:lastPrinted>2017-09-04T13:31:00Z</cp:lastPrinted>
  <dcterms:created xsi:type="dcterms:W3CDTF">2014-12-02T13:32:00Z</dcterms:created>
  <dcterms:modified xsi:type="dcterms:W3CDTF">2017-09-04T13:34:00Z</dcterms:modified>
</cp:coreProperties>
</file>