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C3" w:rsidRDefault="00B515C3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>
        <w:rPr>
          <w:b/>
        </w:rPr>
        <w:t xml:space="preserve">Estadística OAI, </w:t>
      </w:r>
      <w:proofErr w:type="gramStart"/>
      <w:r w:rsidR="00B72D89">
        <w:rPr>
          <w:b/>
        </w:rPr>
        <w:t>Octubre</w:t>
      </w:r>
      <w:proofErr w:type="gramEnd"/>
      <w:r w:rsidR="00B72D89">
        <w:rPr>
          <w:b/>
        </w:rPr>
        <w:t xml:space="preserve"> - Diciembre</w:t>
      </w:r>
      <w:r>
        <w:rPr>
          <w:b/>
        </w:rPr>
        <w:t xml:space="preserve"> 202</w:t>
      </w:r>
      <w:r w:rsidR="00772638">
        <w:rPr>
          <w:b/>
        </w:rPr>
        <w:t>3</w:t>
      </w:r>
    </w:p>
    <w:p w:rsidR="00772638" w:rsidRDefault="00772638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00"/>
      </w:tblGrid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RECIBIDAS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Cantidad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OCTUBRE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NOVIEMBRE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6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DICIEMBRE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lang w:eastAsia="es-DO"/>
              </w:rPr>
              <w:t>13</w:t>
            </w:r>
          </w:p>
        </w:tc>
      </w:tr>
    </w:tbl>
    <w:p w:rsidR="009A212F" w:rsidRDefault="00B72D89" w:rsidP="007814A9">
      <w:pPr>
        <w:tabs>
          <w:tab w:val="left" w:pos="709"/>
        </w:tabs>
        <w:spacing w:after="0" w:line="240" w:lineRule="auto"/>
        <w:ind w:left="-85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2B078C" wp14:editId="6FC6543E">
            <wp:simplePos x="0" y="0"/>
            <wp:positionH relativeFrom="margin">
              <wp:align>right</wp:align>
            </wp:positionH>
            <wp:positionV relativeFrom="page">
              <wp:posOffset>1762125</wp:posOffset>
            </wp:positionV>
            <wp:extent cx="3333750" cy="32004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A21B4D3-6C9D-4593-975C-69D9A2D19A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tbl>
      <w:tblPr>
        <w:tblW w:w="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00"/>
      </w:tblGrid>
      <w:tr w:rsidR="00B72D89" w:rsidRPr="00B72D89" w:rsidTr="00B72D89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CANALES O VÍAS DE SOLICITUD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Cantidad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SAIP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10</w:t>
            </w:r>
          </w:p>
        </w:tc>
      </w:tr>
      <w:tr w:rsidR="00B72D89" w:rsidRPr="00B72D89" w:rsidTr="00B72D89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Desestimada por el Solicitante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Personal a la OAI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B72D89" w:rsidRPr="00B72D89" w:rsidTr="00B72D89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Recibidas de otras Instituciones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Correo Electrónico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B72D89" w:rsidRPr="00B72D89" w:rsidTr="00B72D89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Remitidas a otras Instituciones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Telefónica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lang w:eastAsia="es-DO"/>
              </w:rPr>
              <w:t>13</w:t>
            </w:r>
          </w:p>
        </w:tc>
      </w:tr>
    </w:tbl>
    <w:p w:rsidR="007814A9" w:rsidRDefault="007814A9" w:rsidP="00335B5D">
      <w:pPr>
        <w:tabs>
          <w:tab w:val="left" w:pos="993"/>
        </w:tabs>
        <w:ind w:left="993" w:right="3117" w:hanging="993"/>
      </w:pPr>
    </w:p>
    <w:tbl>
      <w:tblPr>
        <w:tblpPr w:leftFromText="141" w:rightFromText="141" w:vertAnchor="text" w:tblpY="1"/>
        <w:tblOverlap w:val="never"/>
        <w:tblW w:w="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00"/>
      </w:tblGrid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INFORMACIONES REQUERIDAS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B72D89" w:rsidRPr="00B72D89" w:rsidTr="00B72D89">
        <w:trPr>
          <w:trHeight w:val="82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Contratos adjudicados a suplidores/Contratos clientes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Facturación Eléctrica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Laboral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Servicio de Energía/Consumo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Servicios Generales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B72D89" w:rsidRPr="00B72D89" w:rsidTr="00B72D89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Unidades de Negocios Sectoriales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Otros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B72D89" w:rsidRPr="00B72D89" w:rsidTr="00B72D8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13</w:t>
            </w:r>
          </w:p>
        </w:tc>
      </w:tr>
    </w:tbl>
    <w:p w:rsidR="007814A9" w:rsidRDefault="00B72D89" w:rsidP="00335B5D">
      <w:pPr>
        <w:tabs>
          <w:tab w:val="left" w:pos="993"/>
        </w:tabs>
        <w:ind w:left="993" w:right="3117" w:hanging="993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452287" wp14:editId="5F5B4571">
            <wp:simplePos x="0" y="0"/>
            <wp:positionH relativeFrom="page">
              <wp:posOffset>3899535</wp:posOffset>
            </wp:positionH>
            <wp:positionV relativeFrom="page">
              <wp:posOffset>5514340</wp:posOffset>
            </wp:positionV>
            <wp:extent cx="2847974" cy="2409825"/>
            <wp:effectExtent l="0" t="0" r="10160" b="9525"/>
            <wp:wrapNone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A9B0724B-6FC2-4136-9ACB-5BE2C558CC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B72D89" w:rsidRDefault="00B72D89" w:rsidP="00335B5D">
      <w:pPr>
        <w:tabs>
          <w:tab w:val="left" w:pos="993"/>
        </w:tabs>
        <w:ind w:left="993" w:right="3117" w:hanging="993"/>
      </w:pPr>
    </w:p>
    <w:p w:rsidR="00B72D89" w:rsidRDefault="00B72D89" w:rsidP="00335B5D">
      <w:pPr>
        <w:tabs>
          <w:tab w:val="left" w:pos="993"/>
        </w:tabs>
        <w:ind w:left="993" w:right="3117" w:hanging="993"/>
      </w:pPr>
    </w:p>
    <w:p w:rsidR="00B72D89" w:rsidRDefault="00B72D89" w:rsidP="00335B5D">
      <w:pPr>
        <w:tabs>
          <w:tab w:val="left" w:pos="993"/>
        </w:tabs>
        <w:ind w:left="993" w:right="3117" w:hanging="993"/>
      </w:pPr>
    </w:p>
    <w:p w:rsidR="00B72D89" w:rsidRDefault="00B72D89" w:rsidP="00335B5D">
      <w:pPr>
        <w:tabs>
          <w:tab w:val="left" w:pos="993"/>
        </w:tabs>
        <w:ind w:left="993" w:right="3117" w:hanging="993"/>
      </w:pPr>
    </w:p>
    <w:p w:rsidR="00B72D89" w:rsidRDefault="00B72D89" w:rsidP="00335B5D">
      <w:pPr>
        <w:tabs>
          <w:tab w:val="left" w:pos="993"/>
        </w:tabs>
        <w:ind w:left="993" w:right="3117" w:hanging="993"/>
      </w:pPr>
    </w:p>
    <w:p w:rsidR="00B72D89" w:rsidRDefault="00B72D89" w:rsidP="00B72D89">
      <w:pPr>
        <w:tabs>
          <w:tab w:val="left" w:pos="993"/>
        </w:tabs>
        <w:ind w:left="993" w:right="3117" w:hanging="993"/>
        <w:jc w:val="center"/>
      </w:pPr>
    </w:p>
    <w:tbl>
      <w:tblPr>
        <w:tblW w:w="38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1000"/>
      </w:tblGrid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DEPARTAMENTO QUE POSEE LA INFORMACIÓN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Gestión de Cobranzas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B72D89" w:rsidRPr="00B72D89" w:rsidTr="00B72D89">
        <w:trPr>
          <w:trHeight w:val="6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Gerencia de Grandes Clientes y Ayuntamientos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Gerencia de Contratos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Dirección de Planificación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6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Gerencia de Mantenimiento de Redes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B72D89" w:rsidRPr="00B72D89" w:rsidTr="00B72D89">
        <w:trPr>
          <w:trHeight w:val="6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Gerencia de Compras y Contrataciones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proofErr w:type="spellStart"/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Dirrección</w:t>
            </w:r>
            <w:proofErr w:type="spellEnd"/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de Distribución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6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Gerencia de Control y Gestión Comercial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Dirección de Recursos Humanos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Gerencia de Litigios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Gerencia de Medición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Contabilidad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72D89" w:rsidRPr="00B72D89" w:rsidTr="00B72D89">
        <w:trPr>
          <w:trHeight w:val="30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proofErr w:type="gramStart"/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  <w:proofErr w:type="gramEnd"/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 general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72D89" w:rsidRPr="00B72D89" w:rsidRDefault="00B72D89" w:rsidP="00B72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72D89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13</w:t>
            </w:r>
          </w:p>
        </w:tc>
      </w:tr>
    </w:tbl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B72D89" w:rsidP="00335B5D">
      <w:pPr>
        <w:tabs>
          <w:tab w:val="left" w:pos="993"/>
        </w:tabs>
        <w:ind w:left="993" w:right="3117" w:hanging="99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17ADF7E8" wp14:editId="5620F85D">
            <wp:simplePos x="0" y="0"/>
            <wp:positionH relativeFrom="page">
              <wp:posOffset>2571750</wp:posOffset>
            </wp:positionH>
            <wp:positionV relativeFrom="page">
              <wp:posOffset>5568315</wp:posOffset>
            </wp:positionV>
            <wp:extent cx="2886073" cy="2867025"/>
            <wp:effectExtent l="0" t="0" r="10160" b="9525"/>
            <wp:wrapNone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6C7BCDBD-FFA0-4400-B13D-E123F5EA99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p w:rsidR="009A212F" w:rsidRDefault="009A212F" w:rsidP="00335B5D">
      <w:pPr>
        <w:tabs>
          <w:tab w:val="left" w:pos="993"/>
        </w:tabs>
        <w:ind w:left="993" w:right="3117" w:hanging="993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p w:rsidR="00F47B74" w:rsidRDefault="00B72D89" w:rsidP="00335B5D">
      <w:pPr>
        <w:tabs>
          <w:tab w:val="left" w:pos="993"/>
        </w:tabs>
        <w:ind w:left="993" w:right="3117" w:hanging="993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60E671E" wp14:editId="0FF6FA4D">
            <wp:simplePos x="0" y="0"/>
            <wp:positionH relativeFrom="page">
              <wp:posOffset>742950</wp:posOffset>
            </wp:positionH>
            <wp:positionV relativeFrom="page">
              <wp:posOffset>8910320</wp:posOffset>
            </wp:positionV>
            <wp:extent cx="4352925" cy="1352550"/>
            <wp:effectExtent l="0" t="0" r="952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CA038924-FC3C-4080-8F4E-9ABB86F8E1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CA038924-FC3C-4080-8F4E-9ABB86F8E1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1642" t="54890" r="38430" b="26065"/>
                    <a:stretch/>
                  </pic:blipFill>
                  <pic:spPr>
                    <a:xfrm>
                      <a:off x="0" y="0"/>
                      <a:ext cx="43529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B74" w:rsidRDefault="00F47B74" w:rsidP="00335B5D">
      <w:pPr>
        <w:tabs>
          <w:tab w:val="left" w:pos="993"/>
        </w:tabs>
        <w:ind w:left="993" w:right="3117" w:hanging="993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sectPr w:rsidR="00F47B74" w:rsidSect="00B72D89">
      <w:headerReference w:type="default" r:id="rId11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A93" w:rsidRDefault="00E33A93" w:rsidP="00B515C3">
      <w:pPr>
        <w:spacing w:after="0" w:line="240" w:lineRule="auto"/>
      </w:pPr>
      <w:r>
        <w:separator/>
      </w:r>
    </w:p>
  </w:endnote>
  <w:endnote w:type="continuationSeparator" w:id="0">
    <w:p w:rsidR="00E33A93" w:rsidRDefault="00E33A93" w:rsidP="00B5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A93" w:rsidRDefault="00E33A93" w:rsidP="00B515C3">
      <w:pPr>
        <w:spacing w:after="0" w:line="240" w:lineRule="auto"/>
      </w:pPr>
      <w:r>
        <w:separator/>
      </w:r>
    </w:p>
  </w:footnote>
  <w:footnote w:type="continuationSeparator" w:id="0">
    <w:p w:rsidR="00E33A93" w:rsidRDefault="00E33A93" w:rsidP="00B5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5C3" w:rsidRPr="00312A48" w:rsidRDefault="00B515C3" w:rsidP="00B515C3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w:drawing>
        <wp:inline distT="0" distB="0" distL="0" distR="0" wp14:anchorId="4B26ED4F" wp14:editId="2F6ACB30">
          <wp:extent cx="1295400" cy="372525"/>
          <wp:effectExtent l="0" t="0" r="0" b="8890"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</w:t>
    </w:r>
    <w:r w:rsidRPr="00312A48">
      <w:rPr>
        <w:rFonts w:cstheme="minorHAnsi"/>
        <w:b/>
      </w:rPr>
      <w:t>OFICINA DE LIBRE ACCESO A LA INFORMACIÓN PÚBLICA (OAI)</w:t>
    </w:r>
  </w:p>
  <w:p w:rsidR="00B515C3" w:rsidRPr="00312A48" w:rsidRDefault="00B515C3" w:rsidP="00B515C3">
    <w:pPr>
      <w:pStyle w:val="Encabezado"/>
      <w:jc w:val="center"/>
      <w:rPr>
        <w:rFonts w:cstheme="minorHAnsi"/>
        <w:b/>
        <w:sz w:val="16"/>
        <w:szCs w:val="16"/>
      </w:rPr>
    </w:pPr>
    <w:r w:rsidRPr="00312A48">
      <w:rPr>
        <w:rFonts w:cstheme="minorHAnsi"/>
        <w:b/>
        <w:sz w:val="16"/>
        <w:szCs w:val="16"/>
      </w:rPr>
      <w:t>Año de Fomento de las Exportaciones</w:t>
    </w:r>
  </w:p>
  <w:p w:rsidR="00B515C3" w:rsidRDefault="00B51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60"/>
    <w:rsid w:val="000018F5"/>
    <w:rsid w:val="00036F0A"/>
    <w:rsid w:val="00074F6C"/>
    <w:rsid w:val="00116C46"/>
    <w:rsid w:val="001A5BA1"/>
    <w:rsid w:val="001B6F29"/>
    <w:rsid w:val="001F4E89"/>
    <w:rsid w:val="002C6430"/>
    <w:rsid w:val="00335B5D"/>
    <w:rsid w:val="003369AA"/>
    <w:rsid w:val="00424F82"/>
    <w:rsid w:val="00514FCF"/>
    <w:rsid w:val="005F79D2"/>
    <w:rsid w:val="00613734"/>
    <w:rsid w:val="006776BE"/>
    <w:rsid w:val="006A3FB1"/>
    <w:rsid w:val="0076361A"/>
    <w:rsid w:val="00772638"/>
    <w:rsid w:val="007814A9"/>
    <w:rsid w:val="00792560"/>
    <w:rsid w:val="007A4408"/>
    <w:rsid w:val="007C3ACF"/>
    <w:rsid w:val="00880802"/>
    <w:rsid w:val="008A5E0D"/>
    <w:rsid w:val="008E4A49"/>
    <w:rsid w:val="009A212F"/>
    <w:rsid w:val="009A7194"/>
    <w:rsid w:val="00A37B5F"/>
    <w:rsid w:val="00AE4A60"/>
    <w:rsid w:val="00B515C3"/>
    <w:rsid w:val="00B72D89"/>
    <w:rsid w:val="00BD0BA0"/>
    <w:rsid w:val="00C66DC8"/>
    <w:rsid w:val="00D673C3"/>
    <w:rsid w:val="00E33A93"/>
    <w:rsid w:val="00F4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8CEF3"/>
  <w15:chartTrackingRefBased/>
  <w15:docId w15:val="{8761499D-C4DF-4C73-BE36-22C3A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5C3"/>
  </w:style>
  <w:style w:type="paragraph" w:styleId="Piedepgina">
    <w:name w:val="footer"/>
    <w:basedOn w:val="Normal"/>
    <w:link w:val="Piedepgina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Ubicaci&#243;n%20de%20la%20matriz%20en%20el%20subportal%20de%20transparencia\6-OAI\Estad&#237;sticas%20OAI%202023\4to%20Estad&#237;sticas%20Octubre-Diciembre%20(OAI)\Estad&#237;sticas%20OAI%20Octubre-Diciembre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Ubicaci&#243;n%20de%20la%20matriz%20en%20el%20subportal%20de%20transparencia\6-OAI\Estad&#237;sticas%20OAI%202023\4to%20Estad&#237;sticas%20Octubre-Diciembre%20(OAI)\Estad&#237;sticas%20OAI%20Octubre-Diciembre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Ubicaci&#243;n%20de%20la%20matriz%20en%20el%20subportal%20de%20transparencia\6-OAI\Estad&#237;sticas%20OAI%202023\4to%20Estad&#237;sticas%20Octubre-Diciembre%20(OAI)\Estad&#237;sticas%20OAI%20Octubre-Diciembre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CANALES O VÍAS DE SOLICITUD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706-401A-976E-0ED64C759F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706-401A-976E-0ED64C759F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706-401A-976E-0ED64C759F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706-401A-976E-0ED64C759F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706-401A-976E-0ED64C759F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4706-401A-976E-0ED64C759F5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4706-401A-976E-0ED64C759F5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Hoja1!$A$8:$A$14</c:f>
              <c:strCache>
                <c:ptCount val="7"/>
                <c:pt idx="0">
                  <c:v>SAIP</c:v>
                </c:pt>
                <c:pt idx="1">
                  <c:v>Desestimada por el Solicitante</c:v>
                </c:pt>
                <c:pt idx="2">
                  <c:v>Personal a la OAI</c:v>
                </c:pt>
                <c:pt idx="3">
                  <c:v>Recibidas de otras Instituciones</c:v>
                </c:pt>
                <c:pt idx="4">
                  <c:v>Correo Electrónico </c:v>
                </c:pt>
                <c:pt idx="5">
                  <c:v>Remitidas a otras Instituciones</c:v>
                </c:pt>
                <c:pt idx="6">
                  <c:v>Telefónica</c:v>
                </c:pt>
              </c:strCache>
            </c:strRef>
          </c:cat>
          <c:val>
            <c:numRef>
              <c:f>Hoja1!$B$8:$B$14</c:f>
              <c:numCache>
                <c:formatCode>General</c:formatCode>
                <c:ptCount val="7"/>
                <c:pt idx="0">
                  <c:v>10</c:v>
                </c:pt>
                <c:pt idx="2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706-401A-976E-0ED64C759F5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INFORMACIONES REQUERIDAS</a:t>
            </a:r>
          </a:p>
        </c:rich>
      </c:tx>
      <c:layout>
        <c:manualLayout>
          <c:xMode val="edge"/>
          <c:yMode val="edge"/>
          <c:x val="0.2116111111111111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Hoja1!$A$18:$A$24</c:f>
              <c:strCache>
                <c:ptCount val="7"/>
                <c:pt idx="0">
                  <c:v>Contratos adjudicados a suplidores/Contratos clientes</c:v>
                </c:pt>
                <c:pt idx="1">
                  <c:v>Facturación Eléctrica</c:v>
                </c:pt>
                <c:pt idx="2">
                  <c:v>Laboral</c:v>
                </c:pt>
                <c:pt idx="3">
                  <c:v>Servicio de Energía/Consumo</c:v>
                </c:pt>
                <c:pt idx="4">
                  <c:v>Servicios Generales</c:v>
                </c:pt>
                <c:pt idx="5">
                  <c:v>Unidades de Negocios Sectoriales</c:v>
                </c:pt>
                <c:pt idx="6">
                  <c:v>Otros </c:v>
                </c:pt>
              </c:strCache>
            </c:strRef>
          </c:cat>
          <c:val>
            <c:numRef>
              <c:f>Hoja1!$B$18:$B$24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3">
                  <c:v>2</c:v>
                </c:pt>
                <c:pt idx="4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D9-40C9-B881-C51A0766911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365536"/>
        <c:axId val="2064577216"/>
      </c:barChart>
      <c:catAx>
        <c:axId val="65365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577216"/>
        <c:crosses val="autoZero"/>
        <c:auto val="0"/>
        <c:lblAlgn val="ctr"/>
        <c:lblOffset val="100"/>
        <c:noMultiLvlLbl val="0"/>
      </c:catAx>
      <c:valAx>
        <c:axId val="206457721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536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DEPARTAMENTO QUE</a:t>
            </a:r>
            <a:r>
              <a:rPr lang="es-DO" baseline="0"/>
              <a:t> POSEE LA INFORMACIÓN</a:t>
            </a:r>
            <a:endParaRPr lang="es-DO"/>
          </a:p>
        </c:rich>
      </c:tx>
      <c:layout>
        <c:manualLayout>
          <c:xMode val="edge"/>
          <c:yMode val="edge"/>
          <c:x val="0.19608103041173908"/>
          <c:y val="2.725060409592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Hoja1!$A$28:$A$38</c:f>
              <c:strCache>
                <c:ptCount val="11"/>
                <c:pt idx="0">
                  <c:v>Gestión de Cobranzas</c:v>
                </c:pt>
                <c:pt idx="1">
                  <c:v>Gerencia de Grandes Clientes y Ayuntamientos</c:v>
                </c:pt>
                <c:pt idx="2">
                  <c:v>Gerencia de Contratos</c:v>
                </c:pt>
                <c:pt idx="3">
                  <c:v>Dirección de Planificación</c:v>
                </c:pt>
                <c:pt idx="4">
                  <c:v>Gerencia de Mantenimiento de Redes</c:v>
                </c:pt>
                <c:pt idx="5">
                  <c:v>Gerencia de Compras y Contrataciones</c:v>
                </c:pt>
                <c:pt idx="6">
                  <c:v>Dirrección de Distribución</c:v>
                </c:pt>
                <c:pt idx="7">
                  <c:v>Gerencia de Control y Gestión Comercial </c:v>
                </c:pt>
                <c:pt idx="8">
                  <c:v>Dirección de Recursos Humanos</c:v>
                </c:pt>
                <c:pt idx="9">
                  <c:v>Gerencia de Litigios</c:v>
                </c:pt>
                <c:pt idx="10">
                  <c:v>Gerencia de Medición</c:v>
                </c:pt>
              </c:strCache>
            </c:strRef>
          </c:cat>
          <c:val>
            <c:numRef>
              <c:f>Hoja1!$B$28:$B$38</c:f>
              <c:numCache>
                <c:formatCode>General</c:formatCode>
                <c:ptCount val="11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4">
                  <c:v>2</c:v>
                </c:pt>
                <c:pt idx="5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BF-4C55-980E-639ECE6E8B9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4129920"/>
        <c:axId val="2060633712"/>
      </c:barChart>
      <c:catAx>
        <c:axId val="206412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0633712"/>
        <c:crosses val="autoZero"/>
        <c:auto val="1"/>
        <c:lblAlgn val="ctr"/>
        <c:lblOffset val="100"/>
        <c:noMultiLvlLbl val="0"/>
      </c:catAx>
      <c:valAx>
        <c:axId val="20606337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1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D0F5-A7F8-4A4D-A881-961973F7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21</cp:revision>
  <dcterms:created xsi:type="dcterms:W3CDTF">2021-04-07T12:19:00Z</dcterms:created>
  <dcterms:modified xsi:type="dcterms:W3CDTF">2024-01-12T13:35:00Z</dcterms:modified>
</cp:coreProperties>
</file>