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931" w:rsidRDefault="000B1931" w:rsidP="00F655B4">
      <w:pPr>
        <w:jc w:val="both"/>
        <w:rPr>
          <w:rFonts w:ascii="Arial" w:hAnsi="Arial" w:cs="Arial"/>
          <w:sz w:val="48"/>
          <w:szCs w:val="48"/>
        </w:rPr>
      </w:pPr>
    </w:p>
    <w:p w:rsidR="002D397F" w:rsidRPr="002D397F" w:rsidRDefault="002D397F" w:rsidP="00F655B4">
      <w:pPr>
        <w:jc w:val="both"/>
        <w:rPr>
          <w:rFonts w:ascii="Arial" w:hAnsi="Arial" w:cs="Arial"/>
          <w:sz w:val="48"/>
          <w:szCs w:val="48"/>
        </w:rPr>
      </w:pPr>
      <w:r w:rsidRPr="00324812">
        <w:rPr>
          <w:rFonts w:ascii="Arial" w:hAnsi="Arial" w:cs="Arial"/>
          <w:b/>
          <w:noProof/>
          <w:sz w:val="32"/>
          <w:szCs w:val="32"/>
          <w:lang w:eastAsia="es-DO"/>
        </w:rPr>
        <w:drawing>
          <wp:anchor distT="0" distB="0" distL="0" distR="0" simplePos="0" relativeHeight="251659264" behindDoc="1" locked="0" layoutInCell="1" allowOverlap="1" wp14:anchorId="2973A49D" wp14:editId="547ED687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55230" cy="10685780"/>
            <wp:effectExtent l="0" t="0" r="7620" b="1270"/>
            <wp:wrapNone/>
            <wp:docPr id="1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945915" name="Imagen 2115945915" descr="Icono&#10;&#10;Descripción generada automá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68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397F">
        <w:rPr>
          <w:rFonts w:ascii="Arial" w:hAnsi="Arial" w:cs="Arial"/>
          <w:sz w:val="48"/>
          <w:szCs w:val="48"/>
        </w:rPr>
        <w:t xml:space="preserve">Edenorte repotencia 12 subestaciones en su zona de concesión  </w:t>
      </w:r>
    </w:p>
    <w:p w:rsidR="002D397F" w:rsidRPr="002D397F" w:rsidRDefault="002D397F" w:rsidP="00F655B4">
      <w:pPr>
        <w:jc w:val="both"/>
        <w:rPr>
          <w:rFonts w:ascii="Arial" w:hAnsi="Arial" w:cs="Arial"/>
          <w:sz w:val="48"/>
          <w:szCs w:val="48"/>
        </w:rPr>
      </w:pPr>
    </w:p>
    <w:p w:rsidR="00F655B4" w:rsidRDefault="002D397F" w:rsidP="00F655B4">
      <w:pPr>
        <w:jc w:val="both"/>
        <w:rPr>
          <w:rFonts w:ascii="Arial" w:hAnsi="Arial" w:cs="Arial"/>
          <w:sz w:val="24"/>
          <w:szCs w:val="24"/>
        </w:rPr>
      </w:pPr>
      <w:r w:rsidRPr="002D397F">
        <w:rPr>
          <w:rFonts w:ascii="Arial" w:hAnsi="Arial" w:cs="Arial"/>
          <w:b/>
          <w:sz w:val="24"/>
          <w:szCs w:val="24"/>
        </w:rPr>
        <w:t>SANTIAGO RD: -</w:t>
      </w:r>
      <w:r>
        <w:rPr>
          <w:rFonts w:ascii="Arial" w:hAnsi="Arial" w:cs="Arial"/>
          <w:sz w:val="24"/>
          <w:szCs w:val="24"/>
        </w:rPr>
        <w:t xml:space="preserve"> </w:t>
      </w:r>
      <w:r w:rsidR="00F655B4">
        <w:rPr>
          <w:rFonts w:ascii="Arial" w:hAnsi="Arial" w:cs="Arial"/>
          <w:sz w:val="24"/>
          <w:szCs w:val="24"/>
        </w:rPr>
        <w:t xml:space="preserve">La </w:t>
      </w:r>
      <w:r w:rsidR="00F655B4" w:rsidRPr="00F655B4">
        <w:rPr>
          <w:rFonts w:ascii="Arial" w:hAnsi="Arial" w:cs="Arial"/>
          <w:sz w:val="24"/>
          <w:szCs w:val="24"/>
        </w:rPr>
        <w:t>Empresa Distribuidora de Electricidad</w:t>
      </w:r>
      <w:r w:rsidR="00F655B4">
        <w:rPr>
          <w:rFonts w:ascii="Arial" w:hAnsi="Arial" w:cs="Arial"/>
          <w:sz w:val="24"/>
          <w:szCs w:val="24"/>
        </w:rPr>
        <w:t xml:space="preserve"> del Norte (</w:t>
      </w:r>
      <w:r w:rsidR="00F655B4" w:rsidRPr="00F655B4">
        <w:rPr>
          <w:rFonts w:ascii="Arial" w:hAnsi="Arial" w:cs="Arial"/>
          <w:sz w:val="24"/>
          <w:szCs w:val="24"/>
        </w:rPr>
        <w:t>Edenorte</w:t>
      </w:r>
      <w:r w:rsidR="00F655B4">
        <w:rPr>
          <w:rFonts w:ascii="Arial" w:hAnsi="Arial" w:cs="Arial"/>
          <w:sz w:val="24"/>
          <w:szCs w:val="24"/>
        </w:rPr>
        <w:t>)</w:t>
      </w:r>
      <w:r w:rsidR="00F655B4" w:rsidRPr="00F655B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informa que </w:t>
      </w:r>
      <w:r w:rsidR="00F655B4">
        <w:rPr>
          <w:rFonts w:ascii="Arial" w:hAnsi="Arial" w:cs="Arial"/>
          <w:sz w:val="24"/>
          <w:szCs w:val="24"/>
        </w:rPr>
        <w:t>ha repotenciado este año 12 subestaciones impactando a los clientes de</w:t>
      </w:r>
      <w:r w:rsidR="00F655B4">
        <w:rPr>
          <w:rFonts w:ascii="Arial" w:hAnsi="Arial" w:cs="Arial"/>
          <w:sz w:val="24"/>
          <w:szCs w:val="24"/>
        </w:rPr>
        <w:t xml:space="preserve"> </w:t>
      </w:r>
      <w:r w:rsidRPr="00F655B4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as provincias</w:t>
      </w:r>
      <w:r w:rsidR="00F655B4">
        <w:rPr>
          <w:rFonts w:ascii="Arial" w:hAnsi="Arial" w:cs="Arial"/>
          <w:sz w:val="24"/>
          <w:szCs w:val="24"/>
        </w:rPr>
        <w:t xml:space="preserve"> bajo </w:t>
      </w:r>
      <w:r>
        <w:rPr>
          <w:rFonts w:ascii="Arial" w:hAnsi="Arial" w:cs="Arial"/>
          <w:sz w:val="24"/>
          <w:szCs w:val="24"/>
        </w:rPr>
        <w:t xml:space="preserve">su </w:t>
      </w:r>
      <w:r w:rsidR="00F655B4">
        <w:rPr>
          <w:rFonts w:ascii="Arial" w:hAnsi="Arial" w:cs="Arial"/>
          <w:sz w:val="24"/>
          <w:szCs w:val="24"/>
        </w:rPr>
        <w:t>concesión.</w:t>
      </w:r>
    </w:p>
    <w:p w:rsidR="00005B5E" w:rsidRDefault="00F655B4" w:rsidP="00F655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subestaciones repotenciadas por Edenorte son: la </w:t>
      </w:r>
      <w:r w:rsidRPr="00F655B4">
        <w:rPr>
          <w:rFonts w:ascii="Arial" w:hAnsi="Arial" w:cs="Arial"/>
          <w:sz w:val="24"/>
          <w:szCs w:val="24"/>
        </w:rPr>
        <w:t>Subestación Nibaje T02</w:t>
      </w:r>
      <w:r w:rsidR="00CC7763">
        <w:rPr>
          <w:rFonts w:ascii="Arial" w:hAnsi="Arial" w:cs="Arial"/>
          <w:sz w:val="24"/>
          <w:szCs w:val="24"/>
        </w:rPr>
        <w:t xml:space="preserve"> y </w:t>
      </w:r>
      <w:r w:rsidR="00CC7763" w:rsidRPr="00F655B4">
        <w:rPr>
          <w:rFonts w:ascii="Arial" w:hAnsi="Arial" w:cs="Arial"/>
          <w:sz w:val="24"/>
          <w:szCs w:val="24"/>
        </w:rPr>
        <w:t>Subestación</w:t>
      </w:r>
      <w:r w:rsidRPr="00F655B4">
        <w:rPr>
          <w:rFonts w:ascii="Arial" w:hAnsi="Arial" w:cs="Arial"/>
          <w:sz w:val="24"/>
          <w:szCs w:val="24"/>
        </w:rPr>
        <w:t xml:space="preserve"> Don Pedro</w:t>
      </w:r>
      <w:r w:rsidR="00CC7763">
        <w:rPr>
          <w:rFonts w:ascii="Arial" w:hAnsi="Arial" w:cs="Arial"/>
          <w:sz w:val="24"/>
          <w:szCs w:val="24"/>
        </w:rPr>
        <w:t xml:space="preserve"> en el municipio Santiago de los Caballeros</w:t>
      </w:r>
      <w:r w:rsidR="00701588">
        <w:rPr>
          <w:rFonts w:ascii="Arial" w:hAnsi="Arial" w:cs="Arial"/>
          <w:sz w:val="24"/>
          <w:szCs w:val="24"/>
        </w:rPr>
        <w:t xml:space="preserve"> pertenecientes al S</w:t>
      </w:r>
      <w:r w:rsidR="00CC7763">
        <w:rPr>
          <w:rFonts w:ascii="Arial" w:hAnsi="Arial" w:cs="Arial"/>
          <w:sz w:val="24"/>
          <w:szCs w:val="24"/>
        </w:rPr>
        <w:t xml:space="preserve">ector </w:t>
      </w:r>
      <w:r w:rsidR="00701588">
        <w:rPr>
          <w:rFonts w:ascii="Arial" w:hAnsi="Arial" w:cs="Arial"/>
          <w:sz w:val="24"/>
          <w:szCs w:val="24"/>
        </w:rPr>
        <w:t>E</w:t>
      </w:r>
      <w:r w:rsidR="00CC7763">
        <w:rPr>
          <w:rFonts w:ascii="Arial" w:hAnsi="Arial" w:cs="Arial"/>
          <w:sz w:val="24"/>
          <w:szCs w:val="24"/>
        </w:rPr>
        <w:t>léctrico Santiago</w:t>
      </w:r>
      <w:r w:rsidR="00005B5E">
        <w:rPr>
          <w:rFonts w:ascii="Arial" w:hAnsi="Arial" w:cs="Arial"/>
          <w:sz w:val="24"/>
          <w:szCs w:val="24"/>
        </w:rPr>
        <w:t>.</w:t>
      </w:r>
    </w:p>
    <w:p w:rsidR="00005B5E" w:rsidRDefault="00005B5E" w:rsidP="00F655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CC7763">
        <w:rPr>
          <w:rFonts w:ascii="Arial" w:hAnsi="Arial" w:cs="Arial"/>
          <w:sz w:val="24"/>
          <w:szCs w:val="24"/>
        </w:rPr>
        <w:t xml:space="preserve">a </w:t>
      </w:r>
      <w:r w:rsidR="001A054B">
        <w:rPr>
          <w:rFonts w:ascii="Arial" w:hAnsi="Arial" w:cs="Arial"/>
          <w:sz w:val="24"/>
          <w:szCs w:val="24"/>
        </w:rPr>
        <w:t>s</w:t>
      </w:r>
      <w:r w:rsidR="00F655B4" w:rsidRPr="00F655B4">
        <w:rPr>
          <w:rFonts w:ascii="Arial" w:hAnsi="Arial" w:cs="Arial"/>
          <w:sz w:val="24"/>
          <w:szCs w:val="24"/>
        </w:rPr>
        <w:t>ubestación Moca Vieja</w:t>
      </w:r>
      <w:r w:rsidR="00CC7763">
        <w:rPr>
          <w:rFonts w:ascii="Arial" w:hAnsi="Arial" w:cs="Arial"/>
          <w:sz w:val="24"/>
          <w:szCs w:val="24"/>
        </w:rPr>
        <w:t xml:space="preserve"> y Moca Nueva correspondientes al municipio Moca, la </w:t>
      </w:r>
      <w:r w:rsidR="001A054B">
        <w:rPr>
          <w:rFonts w:ascii="Arial" w:hAnsi="Arial" w:cs="Arial"/>
          <w:sz w:val="24"/>
          <w:szCs w:val="24"/>
        </w:rPr>
        <w:t>subestación</w:t>
      </w:r>
      <w:r w:rsidR="00CC7763">
        <w:rPr>
          <w:rFonts w:ascii="Arial" w:hAnsi="Arial" w:cs="Arial"/>
          <w:sz w:val="24"/>
          <w:szCs w:val="24"/>
        </w:rPr>
        <w:t xml:space="preserve"> Paso </w:t>
      </w:r>
      <w:r>
        <w:rPr>
          <w:rFonts w:ascii="Arial" w:hAnsi="Arial" w:cs="Arial"/>
          <w:sz w:val="24"/>
          <w:szCs w:val="24"/>
        </w:rPr>
        <w:t>Bajito en</w:t>
      </w:r>
      <w:r w:rsidR="00CC7763">
        <w:rPr>
          <w:rFonts w:ascii="Arial" w:hAnsi="Arial" w:cs="Arial"/>
          <w:sz w:val="24"/>
          <w:szCs w:val="24"/>
        </w:rPr>
        <w:t xml:space="preserve"> el municipio Jarabacoa</w:t>
      </w:r>
      <w:r>
        <w:rPr>
          <w:rFonts w:ascii="Arial" w:hAnsi="Arial" w:cs="Arial"/>
          <w:sz w:val="24"/>
          <w:szCs w:val="24"/>
        </w:rPr>
        <w:t xml:space="preserve"> provincia La Vega,</w:t>
      </w:r>
      <w:r w:rsidR="00CC7763">
        <w:rPr>
          <w:rFonts w:ascii="Arial" w:hAnsi="Arial" w:cs="Arial"/>
          <w:sz w:val="24"/>
          <w:szCs w:val="24"/>
        </w:rPr>
        <w:t xml:space="preserve"> </w:t>
      </w:r>
      <w:r w:rsidR="001A054B">
        <w:rPr>
          <w:rFonts w:ascii="Arial" w:hAnsi="Arial" w:cs="Arial"/>
          <w:sz w:val="24"/>
          <w:szCs w:val="24"/>
        </w:rPr>
        <w:t>la s</w:t>
      </w:r>
      <w:r w:rsidR="00CC7763">
        <w:rPr>
          <w:rFonts w:ascii="Arial" w:hAnsi="Arial" w:cs="Arial"/>
          <w:sz w:val="24"/>
          <w:szCs w:val="24"/>
        </w:rPr>
        <w:t xml:space="preserve">ubestación Bonao </w:t>
      </w:r>
      <w:r>
        <w:rPr>
          <w:rFonts w:ascii="Arial" w:hAnsi="Arial" w:cs="Arial"/>
          <w:sz w:val="24"/>
          <w:szCs w:val="24"/>
        </w:rPr>
        <w:t>Per en el municipio Bonao provincia Monseñor Nouel, todas pertenecientes a</w:t>
      </w:r>
      <w:r w:rsidR="00CC7763">
        <w:rPr>
          <w:rFonts w:ascii="Arial" w:hAnsi="Arial" w:cs="Arial"/>
          <w:sz w:val="24"/>
          <w:szCs w:val="24"/>
        </w:rPr>
        <w:t>l Sector Eléctrico La Vega</w:t>
      </w:r>
      <w:r>
        <w:rPr>
          <w:rFonts w:ascii="Arial" w:hAnsi="Arial" w:cs="Arial"/>
          <w:sz w:val="24"/>
          <w:szCs w:val="24"/>
        </w:rPr>
        <w:t>.</w:t>
      </w:r>
    </w:p>
    <w:p w:rsidR="00701588" w:rsidRDefault="00005B5E" w:rsidP="00F655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CC7763">
        <w:rPr>
          <w:rFonts w:ascii="Arial" w:hAnsi="Arial" w:cs="Arial"/>
          <w:sz w:val="24"/>
          <w:szCs w:val="24"/>
        </w:rPr>
        <w:t>a</w:t>
      </w:r>
      <w:r w:rsidR="001A054B">
        <w:rPr>
          <w:rFonts w:ascii="Arial" w:hAnsi="Arial" w:cs="Arial"/>
          <w:sz w:val="24"/>
          <w:szCs w:val="24"/>
        </w:rPr>
        <w:t>s s</w:t>
      </w:r>
      <w:r>
        <w:rPr>
          <w:rFonts w:ascii="Arial" w:hAnsi="Arial" w:cs="Arial"/>
          <w:sz w:val="24"/>
          <w:szCs w:val="24"/>
        </w:rPr>
        <w:t>ubestacio</w:t>
      </w:r>
      <w:r w:rsidR="00F655B4" w:rsidRPr="00F655B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es</w:t>
      </w:r>
      <w:r w:rsidR="00F655B4" w:rsidRPr="00F655B4">
        <w:rPr>
          <w:rFonts w:ascii="Arial" w:hAnsi="Arial" w:cs="Arial"/>
          <w:sz w:val="24"/>
          <w:szCs w:val="24"/>
        </w:rPr>
        <w:t xml:space="preserve"> Nagua</w:t>
      </w:r>
      <w:r>
        <w:rPr>
          <w:rFonts w:ascii="Arial" w:hAnsi="Arial" w:cs="Arial"/>
          <w:sz w:val="24"/>
          <w:szCs w:val="24"/>
        </w:rPr>
        <w:t xml:space="preserve">, </w:t>
      </w:r>
      <w:r w:rsidR="00CC7763">
        <w:rPr>
          <w:rFonts w:ascii="Arial" w:hAnsi="Arial" w:cs="Arial"/>
          <w:sz w:val="24"/>
          <w:szCs w:val="24"/>
        </w:rPr>
        <w:t>Payita</w:t>
      </w:r>
      <w:r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Río San Juan</w:t>
      </w:r>
      <w:r>
        <w:rPr>
          <w:rFonts w:ascii="Arial" w:hAnsi="Arial" w:cs="Arial"/>
          <w:sz w:val="24"/>
          <w:szCs w:val="24"/>
        </w:rPr>
        <w:t xml:space="preserve"> en los municipios Nagua, Payita</w:t>
      </w:r>
      <w:r w:rsidRPr="00005B5E">
        <w:rPr>
          <w:rFonts w:ascii="Arial" w:hAnsi="Arial" w:cs="Arial"/>
          <w:sz w:val="24"/>
          <w:szCs w:val="24"/>
        </w:rPr>
        <w:t xml:space="preserve"> </w:t>
      </w:r>
      <w:r w:rsidR="00701588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>Río San Juan</w:t>
      </w:r>
      <w:r>
        <w:rPr>
          <w:rFonts w:ascii="Arial" w:hAnsi="Arial" w:cs="Arial"/>
          <w:sz w:val="24"/>
          <w:szCs w:val="24"/>
        </w:rPr>
        <w:t xml:space="preserve"> de</w:t>
      </w:r>
      <w:r w:rsidR="007015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provincia María T</w:t>
      </w:r>
      <w:r w:rsidR="00CC7763">
        <w:rPr>
          <w:rFonts w:ascii="Arial" w:hAnsi="Arial" w:cs="Arial"/>
          <w:sz w:val="24"/>
          <w:szCs w:val="24"/>
        </w:rPr>
        <w:t>rinidad Sánchez</w:t>
      </w:r>
      <w:r w:rsidR="00701588">
        <w:rPr>
          <w:rFonts w:ascii="Arial" w:hAnsi="Arial" w:cs="Arial"/>
          <w:sz w:val="24"/>
          <w:szCs w:val="24"/>
        </w:rPr>
        <w:t>.</w:t>
      </w:r>
    </w:p>
    <w:p w:rsidR="00005B5E" w:rsidRDefault="00701588" w:rsidP="00F655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Así mismo </w:t>
      </w:r>
      <w:r w:rsidR="00005B5E">
        <w:rPr>
          <w:rFonts w:ascii="Arial" w:hAnsi="Arial" w:cs="Arial"/>
          <w:sz w:val="24"/>
          <w:szCs w:val="24"/>
        </w:rPr>
        <w:t>la</w:t>
      </w:r>
      <w:r w:rsidR="00CC7763">
        <w:rPr>
          <w:rFonts w:ascii="Arial" w:hAnsi="Arial" w:cs="Arial"/>
          <w:sz w:val="24"/>
          <w:szCs w:val="24"/>
        </w:rPr>
        <w:t xml:space="preserve"> </w:t>
      </w:r>
      <w:r w:rsidR="001A054B">
        <w:rPr>
          <w:rFonts w:ascii="Arial" w:hAnsi="Arial" w:cs="Arial"/>
          <w:sz w:val="24"/>
          <w:szCs w:val="24"/>
        </w:rPr>
        <w:t>s</w:t>
      </w:r>
      <w:r w:rsidR="00005B5E" w:rsidRPr="00F655B4">
        <w:rPr>
          <w:rFonts w:ascii="Arial" w:hAnsi="Arial" w:cs="Arial"/>
          <w:sz w:val="24"/>
          <w:szCs w:val="24"/>
        </w:rPr>
        <w:t>ubestación El Chivo T01</w:t>
      </w:r>
      <w:r w:rsidR="00005B5E">
        <w:rPr>
          <w:rFonts w:ascii="Arial" w:hAnsi="Arial" w:cs="Arial"/>
          <w:sz w:val="24"/>
          <w:szCs w:val="24"/>
        </w:rPr>
        <w:t xml:space="preserve"> en el municipio San Francisco de Macorís de la provincia Duarte</w:t>
      </w:r>
      <w:r>
        <w:rPr>
          <w:rFonts w:ascii="Arial" w:hAnsi="Arial" w:cs="Arial"/>
          <w:sz w:val="24"/>
          <w:szCs w:val="24"/>
        </w:rPr>
        <w:t xml:space="preserve"> y L</w:t>
      </w:r>
      <w:r w:rsidR="001A054B">
        <w:rPr>
          <w:rFonts w:ascii="Arial" w:hAnsi="Arial" w:cs="Arial"/>
          <w:sz w:val="24"/>
          <w:szCs w:val="24"/>
        </w:rPr>
        <w:t>a s</w:t>
      </w:r>
      <w:r w:rsidR="00005B5E">
        <w:rPr>
          <w:rFonts w:ascii="Arial" w:hAnsi="Arial" w:cs="Arial"/>
          <w:sz w:val="24"/>
          <w:szCs w:val="24"/>
        </w:rPr>
        <w:t>ubestació</w:t>
      </w:r>
      <w:r w:rsidR="00005B5E">
        <w:rPr>
          <w:rFonts w:ascii="Arial" w:hAnsi="Arial" w:cs="Arial"/>
          <w:sz w:val="24"/>
          <w:szCs w:val="24"/>
        </w:rPr>
        <w:t>n Salcedo</w:t>
      </w:r>
      <w:r w:rsidR="00005B5E">
        <w:rPr>
          <w:rFonts w:ascii="Arial" w:hAnsi="Arial" w:cs="Arial"/>
          <w:sz w:val="24"/>
          <w:szCs w:val="24"/>
        </w:rPr>
        <w:t xml:space="preserve"> en el municipio Salcedo de la provincia Hermanas Mirabal correspondientes a</w:t>
      </w:r>
      <w:r w:rsidR="00CC7763">
        <w:rPr>
          <w:rFonts w:ascii="Arial" w:hAnsi="Arial" w:cs="Arial"/>
          <w:sz w:val="24"/>
          <w:szCs w:val="24"/>
        </w:rPr>
        <w:t>l Sector Eléctrico San Francisco</w:t>
      </w:r>
      <w:r>
        <w:rPr>
          <w:rFonts w:ascii="Arial" w:hAnsi="Arial" w:cs="Arial"/>
          <w:sz w:val="24"/>
          <w:szCs w:val="24"/>
        </w:rPr>
        <w:t>.</w:t>
      </w:r>
      <w:r w:rsidR="00F655B4" w:rsidRPr="00F655B4">
        <w:rPr>
          <w:rFonts w:ascii="Arial" w:hAnsi="Arial" w:cs="Arial"/>
          <w:sz w:val="24"/>
          <w:szCs w:val="24"/>
        </w:rPr>
        <w:t xml:space="preserve"> </w:t>
      </w:r>
    </w:p>
    <w:p w:rsidR="00F655B4" w:rsidRPr="00F655B4" w:rsidRDefault="00005B5E" w:rsidP="00F655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1A054B">
        <w:rPr>
          <w:rFonts w:ascii="Arial" w:hAnsi="Arial" w:cs="Arial"/>
          <w:sz w:val="24"/>
          <w:szCs w:val="24"/>
        </w:rPr>
        <w:t>s</w:t>
      </w:r>
      <w:r w:rsidR="00F655B4" w:rsidRPr="00F655B4">
        <w:rPr>
          <w:rFonts w:ascii="Arial" w:hAnsi="Arial" w:cs="Arial"/>
          <w:sz w:val="24"/>
          <w:szCs w:val="24"/>
        </w:rPr>
        <w:t>ubestación Dajabón</w:t>
      </w:r>
      <w:r>
        <w:rPr>
          <w:rFonts w:ascii="Arial" w:hAnsi="Arial" w:cs="Arial"/>
          <w:sz w:val="24"/>
          <w:szCs w:val="24"/>
        </w:rPr>
        <w:t xml:space="preserve"> en la provincia Dajabón</w:t>
      </w:r>
      <w:r w:rsidR="00701588">
        <w:rPr>
          <w:rFonts w:ascii="Arial" w:hAnsi="Arial" w:cs="Arial"/>
          <w:sz w:val="24"/>
          <w:szCs w:val="24"/>
        </w:rPr>
        <w:t xml:space="preserve"> del S</w:t>
      </w:r>
      <w:r>
        <w:rPr>
          <w:rFonts w:ascii="Arial" w:hAnsi="Arial" w:cs="Arial"/>
          <w:sz w:val="24"/>
          <w:szCs w:val="24"/>
        </w:rPr>
        <w:t xml:space="preserve">ector </w:t>
      </w:r>
      <w:r w:rsidR="0070158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léctrico Mao</w:t>
      </w:r>
      <w:r w:rsidR="001A054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655B4" w:rsidRPr="00F655B4" w:rsidRDefault="00701588" w:rsidP="00F655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2D397F">
        <w:rPr>
          <w:rFonts w:ascii="Arial" w:hAnsi="Arial" w:cs="Arial"/>
          <w:sz w:val="24"/>
          <w:szCs w:val="24"/>
        </w:rPr>
        <w:t>as subestaciones se repotenciaron con</w:t>
      </w:r>
      <w:r>
        <w:rPr>
          <w:rFonts w:ascii="Arial" w:hAnsi="Arial" w:cs="Arial"/>
          <w:sz w:val="24"/>
          <w:szCs w:val="24"/>
        </w:rPr>
        <w:t xml:space="preserve"> </w:t>
      </w:r>
      <w:r w:rsidRPr="00701588">
        <w:rPr>
          <w:rFonts w:ascii="Arial" w:hAnsi="Arial" w:cs="Arial"/>
          <w:sz w:val="24"/>
          <w:szCs w:val="24"/>
        </w:rPr>
        <w:t>transf</w:t>
      </w:r>
      <w:r>
        <w:rPr>
          <w:rFonts w:ascii="Arial" w:hAnsi="Arial" w:cs="Arial"/>
          <w:sz w:val="24"/>
          <w:szCs w:val="24"/>
        </w:rPr>
        <w:t>ormadores de potencia 50 MVA, 3</w:t>
      </w:r>
      <w:r w:rsidRPr="00F655B4">
        <w:rPr>
          <w:rFonts w:ascii="Arial" w:hAnsi="Arial" w:cs="Arial"/>
          <w:sz w:val="24"/>
          <w:szCs w:val="24"/>
        </w:rPr>
        <w:t xml:space="preserve">7 (MVA) </w:t>
      </w:r>
      <w:r w:rsidR="002D397F">
        <w:rPr>
          <w:rFonts w:ascii="Arial" w:hAnsi="Arial" w:cs="Arial"/>
          <w:sz w:val="24"/>
          <w:szCs w:val="24"/>
        </w:rPr>
        <w:t>28</w:t>
      </w:r>
      <w:r w:rsidR="00F655B4" w:rsidRPr="00F655B4">
        <w:rPr>
          <w:rFonts w:ascii="Arial" w:hAnsi="Arial" w:cs="Arial"/>
          <w:sz w:val="24"/>
          <w:szCs w:val="24"/>
        </w:rPr>
        <w:t xml:space="preserve"> (MVA), </w:t>
      </w:r>
      <w:r w:rsidR="002D397F" w:rsidRPr="00F655B4">
        <w:rPr>
          <w:rFonts w:ascii="Arial" w:hAnsi="Arial" w:cs="Arial"/>
          <w:sz w:val="24"/>
          <w:szCs w:val="24"/>
        </w:rPr>
        <w:t>20 (MVA)</w:t>
      </w:r>
      <w:r w:rsidR="002D397F">
        <w:rPr>
          <w:rFonts w:ascii="Arial" w:hAnsi="Arial" w:cs="Arial"/>
          <w:sz w:val="24"/>
          <w:szCs w:val="24"/>
        </w:rPr>
        <w:t xml:space="preserve"> </w:t>
      </w:r>
      <w:r w:rsidR="002D397F">
        <w:rPr>
          <w:rFonts w:ascii="Arial" w:hAnsi="Arial" w:cs="Arial"/>
          <w:sz w:val="24"/>
          <w:szCs w:val="24"/>
        </w:rPr>
        <w:t>14 (MVA)</w:t>
      </w:r>
      <w:r w:rsidR="002D397F">
        <w:rPr>
          <w:rFonts w:ascii="Arial" w:hAnsi="Arial" w:cs="Arial"/>
          <w:sz w:val="24"/>
          <w:szCs w:val="24"/>
        </w:rPr>
        <w:t>.</w:t>
      </w:r>
      <w:r w:rsidR="002D397F">
        <w:rPr>
          <w:rFonts w:ascii="Arial" w:hAnsi="Arial" w:cs="Arial"/>
          <w:sz w:val="24"/>
          <w:szCs w:val="24"/>
        </w:rPr>
        <w:t xml:space="preserve"> </w:t>
      </w:r>
      <w:r w:rsidR="00F655B4" w:rsidRPr="00F655B4">
        <w:rPr>
          <w:rFonts w:ascii="Arial" w:hAnsi="Arial" w:cs="Arial"/>
          <w:sz w:val="24"/>
          <w:szCs w:val="24"/>
        </w:rPr>
        <w:t xml:space="preserve"> </w:t>
      </w:r>
    </w:p>
    <w:p w:rsidR="002D397F" w:rsidRDefault="002D397F" w:rsidP="00F655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Edenorte explica que, con estos </w:t>
      </w:r>
      <w:r w:rsidR="00F655B4" w:rsidRPr="00F655B4">
        <w:rPr>
          <w:rFonts w:ascii="Arial" w:hAnsi="Arial" w:cs="Arial"/>
          <w:sz w:val="24"/>
          <w:szCs w:val="24"/>
        </w:rPr>
        <w:t xml:space="preserve">Transformadores de Potencias, </w:t>
      </w:r>
      <w:r>
        <w:rPr>
          <w:rFonts w:ascii="Arial" w:hAnsi="Arial" w:cs="Arial"/>
          <w:sz w:val="24"/>
          <w:szCs w:val="24"/>
        </w:rPr>
        <w:t>la empresa garantiza</w:t>
      </w:r>
      <w:r w:rsidR="00F655B4" w:rsidRPr="00F655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</w:t>
      </w:r>
      <w:r w:rsidR="00F655B4" w:rsidRPr="00F655B4">
        <w:rPr>
          <w:rFonts w:ascii="Arial" w:hAnsi="Arial" w:cs="Arial"/>
          <w:sz w:val="24"/>
          <w:szCs w:val="24"/>
        </w:rPr>
        <w:t xml:space="preserve">mejorará </w:t>
      </w:r>
      <w:r>
        <w:rPr>
          <w:rFonts w:ascii="Arial" w:hAnsi="Arial" w:cs="Arial"/>
          <w:sz w:val="24"/>
          <w:szCs w:val="24"/>
        </w:rPr>
        <w:t xml:space="preserve">en la calidad </w:t>
      </w:r>
      <w:r w:rsidR="00F655B4" w:rsidRPr="00F655B4">
        <w:rPr>
          <w:rFonts w:ascii="Arial" w:hAnsi="Arial" w:cs="Arial"/>
          <w:sz w:val="24"/>
          <w:szCs w:val="24"/>
        </w:rPr>
        <w:t>y mayor energía disponible para el servicio energético de cara al crecimiento hacia el futu</w:t>
      </w:r>
      <w:r>
        <w:rPr>
          <w:rFonts w:ascii="Arial" w:hAnsi="Arial" w:cs="Arial"/>
          <w:sz w:val="24"/>
          <w:szCs w:val="24"/>
        </w:rPr>
        <w:t>ro en beneficio de los clientes.</w:t>
      </w:r>
    </w:p>
    <w:p w:rsidR="00F655B4" w:rsidRPr="00F655B4" w:rsidRDefault="002D397F" w:rsidP="00F655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ingeniero Andrés Cueto gerente general de Edenorte</w:t>
      </w:r>
      <w:r w:rsidR="001A054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reafirmó</w:t>
      </w:r>
      <w:r w:rsidR="001A054B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que </w:t>
      </w:r>
      <w:r w:rsidR="00F655B4" w:rsidRPr="00F655B4">
        <w:rPr>
          <w:rFonts w:ascii="Arial" w:hAnsi="Arial" w:cs="Arial"/>
          <w:sz w:val="24"/>
          <w:szCs w:val="24"/>
        </w:rPr>
        <w:t>tal y como lo ha pensado, prometido y cumplido el excelentísimo señor presidente</w:t>
      </w:r>
      <w:r>
        <w:rPr>
          <w:rFonts w:ascii="Arial" w:hAnsi="Arial" w:cs="Arial"/>
          <w:sz w:val="24"/>
          <w:szCs w:val="24"/>
        </w:rPr>
        <w:t xml:space="preserve"> de la República, Luis Abinader, desde Edenorte se le da</w:t>
      </w:r>
      <w:r w:rsidR="00F655B4" w:rsidRPr="00F655B4">
        <w:rPr>
          <w:rFonts w:ascii="Arial" w:hAnsi="Arial" w:cs="Arial"/>
          <w:sz w:val="24"/>
          <w:szCs w:val="24"/>
        </w:rPr>
        <w:t xml:space="preserve"> cumplimiento a esas promesas y palabras.</w:t>
      </w:r>
    </w:p>
    <w:p w:rsidR="00F655B4" w:rsidRPr="00F655B4" w:rsidRDefault="00F655B4" w:rsidP="00F655B4">
      <w:pPr>
        <w:jc w:val="both"/>
        <w:rPr>
          <w:rFonts w:ascii="Arial" w:hAnsi="Arial" w:cs="Arial"/>
          <w:sz w:val="24"/>
          <w:szCs w:val="24"/>
        </w:rPr>
      </w:pPr>
    </w:p>
    <w:p w:rsidR="000B1931" w:rsidRDefault="000B1931" w:rsidP="000B1931">
      <w:pPr>
        <w:pStyle w:val="Sinespaciado"/>
        <w:rPr>
          <w:noProof/>
          <w:sz w:val="24"/>
          <w:szCs w:val="24"/>
          <w:lang w:eastAsia="es-DO"/>
        </w:rPr>
      </w:pPr>
      <w:r>
        <w:rPr>
          <w:lang w:eastAsia="es-DO"/>
        </w:rPr>
        <w:t>Dir</w:t>
      </w:r>
      <w:r w:rsidRPr="00A96D46">
        <w:rPr>
          <w:lang w:eastAsia="es-DO"/>
        </w:rPr>
        <w:t>ección de Comunicación Estratégica</w:t>
      </w:r>
      <w:r w:rsidRPr="00A96D46">
        <w:rPr>
          <w:lang w:eastAsia="es-DO"/>
        </w:rPr>
        <w:tab/>
      </w:r>
    </w:p>
    <w:p w:rsidR="000B1931" w:rsidRPr="0015046B" w:rsidRDefault="000B1931" w:rsidP="000B1931">
      <w:pPr>
        <w:pStyle w:val="Sinespaciado"/>
        <w:rPr>
          <w:noProof/>
          <w:sz w:val="24"/>
          <w:szCs w:val="24"/>
          <w:lang w:eastAsia="es-DO"/>
        </w:rPr>
      </w:pPr>
      <w:r w:rsidRPr="00A96D46">
        <w:rPr>
          <w:lang w:eastAsia="es-DO"/>
        </w:rPr>
        <w:t xml:space="preserve">Relaciones Públicas                                     </w:t>
      </w:r>
    </w:p>
    <w:p w:rsidR="000B1931" w:rsidRPr="00A96D46" w:rsidRDefault="000B1931" w:rsidP="000B1931">
      <w:pPr>
        <w:pStyle w:val="Sinespaciado"/>
        <w:rPr>
          <w:rFonts w:ascii="Calibri" w:hAnsi="Calibri" w:cs="Calibri"/>
          <w:lang w:eastAsia="es-DO"/>
        </w:rPr>
      </w:pPr>
      <w:r w:rsidRPr="00A96D46">
        <w:rPr>
          <w:lang w:eastAsia="es-DO"/>
        </w:rPr>
        <w:t xml:space="preserve">EDENORTE </w:t>
      </w:r>
      <w:proofErr w:type="gramStart"/>
      <w:r w:rsidRPr="00A96D46">
        <w:rPr>
          <w:lang w:eastAsia="es-DO"/>
        </w:rPr>
        <w:t>Dominicana</w:t>
      </w:r>
      <w:proofErr w:type="gramEnd"/>
    </w:p>
    <w:p w:rsidR="000B1931" w:rsidRPr="00A96D46" w:rsidRDefault="000B1931" w:rsidP="000B1931">
      <w:pPr>
        <w:spacing w:after="0"/>
        <w:jc w:val="both"/>
        <w:rPr>
          <w:rFonts w:ascii="Calibri" w:eastAsia="Calibri" w:hAnsi="Calibri" w:cs="Calibri"/>
          <w:sz w:val="18"/>
          <w:szCs w:val="20"/>
          <w:lang w:eastAsia="es-DO"/>
        </w:rPr>
      </w:pPr>
      <w:r w:rsidRPr="00A96D46">
        <w:rPr>
          <w:rFonts w:ascii="Arial" w:eastAsia="Calibri" w:hAnsi="Arial" w:cs="Arial"/>
          <w:sz w:val="18"/>
          <w:szCs w:val="20"/>
          <w:lang w:eastAsia="es-DO"/>
        </w:rPr>
        <w:t>T: 809-241-9090 Ext.:2763</w:t>
      </w:r>
    </w:p>
    <w:p w:rsidR="0008100C" w:rsidRPr="000B1931" w:rsidRDefault="000B1931" w:rsidP="000B1931">
      <w:pPr>
        <w:spacing w:after="0"/>
        <w:rPr>
          <w:sz w:val="28"/>
          <w:szCs w:val="28"/>
        </w:rPr>
      </w:pPr>
      <w:r w:rsidRPr="00A96D46">
        <w:rPr>
          <w:rFonts w:ascii="Arial" w:eastAsia="Calibri" w:hAnsi="Arial" w:cs="Arial"/>
          <w:sz w:val="18"/>
          <w:szCs w:val="20"/>
          <w:lang w:eastAsia="es-DO"/>
        </w:rPr>
        <w:t xml:space="preserve">E: </w:t>
      </w:r>
      <w:r w:rsidRPr="00A96D46">
        <w:rPr>
          <w:rFonts w:ascii="Arial" w:eastAsia="Calibri" w:hAnsi="Arial" w:cs="Arial"/>
          <w:color w:val="0000FF"/>
          <w:sz w:val="18"/>
          <w:szCs w:val="20"/>
          <w:u w:val="single"/>
          <w:lang w:eastAsia="es-DO"/>
        </w:rPr>
        <w:t>relacionespublicas@edenorte.com.do</w:t>
      </w:r>
    </w:p>
    <w:sectPr w:rsidR="0008100C" w:rsidRPr="000B19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B4"/>
    <w:rsid w:val="00005B5E"/>
    <w:rsid w:val="000B1931"/>
    <w:rsid w:val="001A054B"/>
    <w:rsid w:val="002D397F"/>
    <w:rsid w:val="0046719C"/>
    <w:rsid w:val="00701588"/>
    <w:rsid w:val="00B33621"/>
    <w:rsid w:val="00CC7763"/>
    <w:rsid w:val="00F6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642AD3"/>
  <w15:chartTrackingRefBased/>
  <w15:docId w15:val="{D9AF401D-10B0-4D81-B6E6-4BC111EF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B1931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Domingo Genao Genao</dc:creator>
  <cp:keywords/>
  <dc:description/>
  <cp:lastModifiedBy>Martín Domingo Genao Genao</cp:lastModifiedBy>
  <cp:revision>2</cp:revision>
  <dcterms:created xsi:type="dcterms:W3CDTF">2024-09-30T15:43:00Z</dcterms:created>
  <dcterms:modified xsi:type="dcterms:W3CDTF">2024-09-30T19:18:00Z</dcterms:modified>
</cp:coreProperties>
</file>